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D1FE7" w:rsidRDefault="006D1FE7" w:rsidP="00C74096">
      <w:pPr>
        <w:widowControl/>
        <w:autoSpaceDE w:val="0"/>
        <w:autoSpaceDN w:val="0"/>
        <w:spacing w:after="240" w:line="240" w:lineRule="auto"/>
        <w:jc w:val="center"/>
        <w:textAlignment w:val="bottom"/>
        <w:rPr>
          <w:b/>
          <w:color w:val="000000"/>
          <w:sz w:val="36"/>
          <w:szCs w:val="36"/>
          <w:lang w:val="bg-BG"/>
        </w:rPr>
      </w:pPr>
      <w:r w:rsidRPr="006D1FE7">
        <w:rPr>
          <w:b/>
          <w:color w:val="000000"/>
          <w:sz w:val="36"/>
          <w:szCs w:val="36"/>
          <w:lang w:val="bg-BG"/>
        </w:rPr>
        <w:t>Global Climate Change Impacts on Tigris-Euphrates Rivers Basins</w:t>
      </w:r>
    </w:p>
    <w:p w:rsidR="006D1FE7" w:rsidRPr="0076648F" w:rsidRDefault="006D1FE7" w:rsidP="006D1FE7">
      <w:pPr>
        <w:widowControl/>
        <w:autoSpaceDE w:val="0"/>
        <w:autoSpaceDN w:val="0"/>
        <w:spacing w:after="240" w:line="240" w:lineRule="auto"/>
        <w:jc w:val="center"/>
        <w:textAlignment w:val="bottom"/>
        <w:rPr>
          <w:b/>
          <w:color w:val="000000"/>
          <w:szCs w:val="24"/>
          <w:lang w:val="sv-SE"/>
        </w:rPr>
      </w:pPr>
      <w:r w:rsidRPr="0076648F">
        <w:rPr>
          <w:b/>
          <w:color w:val="000000"/>
          <w:szCs w:val="24"/>
          <w:lang w:val="sv-SE"/>
        </w:rPr>
        <w:t>Nasrat Adamo</w:t>
      </w:r>
      <w:r>
        <w:rPr>
          <w:rStyle w:val="FootnoteReference"/>
          <w:b/>
          <w:color w:val="000000"/>
          <w:szCs w:val="24"/>
        </w:rPr>
        <w:footnoteReference w:id="1"/>
      </w:r>
      <w:r w:rsidRPr="0076648F">
        <w:rPr>
          <w:b/>
          <w:color w:val="000000"/>
          <w:szCs w:val="24"/>
          <w:lang w:val="sv-SE"/>
        </w:rPr>
        <w:t>, Nadhir Al-Ansari</w:t>
      </w:r>
      <w:r w:rsidRPr="0076648F">
        <w:rPr>
          <w:rStyle w:val="FootnoteReference"/>
          <w:lang w:val="sv-SE"/>
        </w:rPr>
        <w:t xml:space="preserve"> </w:t>
      </w:r>
      <w:r>
        <w:rPr>
          <w:rStyle w:val="FootnoteReference"/>
          <w:b/>
          <w:color w:val="000000"/>
          <w:szCs w:val="24"/>
        </w:rPr>
        <w:footnoteReference w:id="2"/>
      </w:r>
      <w:r w:rsidRPr="0076648F">
        <w:rPr>
          <w:b/>
          <w:color w:val="000000"/>
          <w:szCs w:val="24"/>
          <w:lang w:val="sv-SE"/>
        </w:rPr>
        <w:t xml:space="preserve"> and Varoujan K. </w:t>
      </w:r>
      <w:proofErr w:type="spellStart"/>
      <w:r w:rsidRPr="0076648F">
        <w:rPr>
          <w:b/>
          <w:color w:val="000000"/>
          <w:szCs w:val="24"/>
          <w:lang w:val="sv-SE"/>
        </w:rPr>
        <w:t>Sissakia</w:t>
      </w:r>
      <w:proofErr w:type="spellEnd"/>
      <w:r>
        <w:rPr>
          <w:rStyle w:val="FootnoteReference"/>
          <w:b/>
          <w:color w:val="000000"/>
          <w:szCs w:val="24"/>
        </w:rPr>
        <w:footnoteReference w:id="3"/>
      </w:r>
    </w:p>
    <w:p w:rsidR="0077016D" w:rsidRPr="006D1FE7" w:rsidRDefault="0077016D" w:rsidP="003150B9">
      <w:pPr>
        <w:widowControl/>
        <w:autoSpaceDE w:val="0"/>
        <w:autoSpaceDN w:val="0"/>
        <w:spacing w:after="240" w:line="240" w:lineRule="auto"/>
        <w:textAlignment w:val="bottom"/>
        <w:rPr>
          <w:color w:val="000000"/>
          <w:szCs w:val="24"/>
          <w:lang w:val="sv-SE"/>
        </w:rPr>
      </w:pPr>
    </w:p>
    <w:p w:rsidR="00E74776" w:rsidRPr="00F162D0" w:rsidRDefault="00E74776" w:rsidP="003150B9">
      <w:pPr>
        <w:widowControl/>
        <w:autoSpaceDE w:val="0"/>
        <w:autoSpaceDN w:val="0"/>
        <w:spacing w:after="240" w:line="240" w:lineRule="auto"/>
        <w:jc w:val="center"/>
        <w:textAlignment w:val="bottom"/>
        <w:rPr>
          <w:b/>
          <w:color w:val="000000"/>
          <w:sz w:val="26"/>
          <w:szCs w:val="26"/>
        </w:rPr>
      </w:pPr>
      <w:r w:rsidRPr="00F162D0">
        <w:rPr>
          <w:b/>
          <w:color w:val="000000"/>
          <w:sz w:val="26"/>
          <w:szCs w:val="26"/>
        </w:rPr>
        <w:t>Abstract</w:t>
      </w:r>
    </w:p>
    <w:p w:rsidR="00E74776" w:rsidRPr="00A31F3C" w:rsidRDefault="006D1FE7" w:rsidP="00C22792">
      <w:pPr>
        <w:spacing w:after="240" w:line="240" w:lineRule="auto"/>
        <w:rPr>
          <w:color w:val="000000"/>
          <w:szCs w:val="24"/>
        </w:rPr>
      </w:pPr>
      <w:r w:rsidRPr="006D1FE7">
        <w:rPr>
          <w:color w:val="000000"/>
          <w:szCs w:val="24"/>
        </w:rPr>
        <w:t xml:space="preserve">Climate change is affecting the hydrological cycle all over the World. The effect on arid and semi-arid regions is relatively more. The Middle East and North Africa region is one of the biggest hyper-arid, semi-arid and arid zones in the world where the long-term average precipitation does not exceed 166mm per year. The Tigris and Euphrates basins are located within the northern part of the Middle East. Future projections indicate the considerable reduction in water resources as a result of drought and population growth. North Atlantic Oscillation (NAO) is responsible for the change in climate over the Tigris and Euphrates basins. This is causing a decrease in rainfall and a consequence decrease in the flow of the rivers. In addition, the temperature is increasing. All these variables are causing sea level rise, increasing dust storms and deletion of groundwater resources. It is believed that quick actions are required to minimize the effect of climate change. This </w:t>
      </w:r>
      <w:r w:rsidR="0097169F" w:rsidRPr="006D1FE7">
        <w:rPr>
          <w:color w:val="000000"/>
          <w:szCs w:val="24"/>
        </w:rPr>
        <w:t>includes</w:t>
      </w:r>
      <w:bookmarkStart w:id="0" w:name="_GoBack"/>
      <w:bookmarkEnd w:id="0"/>
      <w:r w:rsidRPr="006D1FE7">
        <w:rPr>
          <w:color w:val="000000"/>
          <w:szCs w:val="24"/>
        </w:rPr>
        <w:t xml:space="preserve"> prudent water resources planning and good regional cooperation.</w:t>
      </w:r>
      <w:r w:rsidR="00C735A2">
        <w:rPr>
          <w:color w:val="000000"/>
          <w:szCs w:val="24"/>
        </w:rPr>
        <w:t xml:space="preserve">  </w:t>
      </w:r>
    </w:p>
    <w:p w:rsidR="00E74776" w:rsidRDefault="00E74776" w:rsidP="003150B9">
      <w:pPr>
        <w:spacing w:after="240" w:line="240" w:lineRule="auto"/>
        <w:rPr>
          <w:color w:val="000000"/>
          <w:szCs w:val="24"/>
        </w:rPr>
      </w:pPr>
    </w:p>
    <w:p w:rsidR="00A31F3C" w:rsidRPr="00A31F3C" w:rsidRDefault="00A31F3C" w:rsidP="006D1FE7">
      <w:pPr>
        <w:spacing w:after="240" w:line="360" w:lineRule="auto"/>
        <w:ind w:left="1" w:hanging="1"/>
        <w:rPr>
          <w:b/>
          <w:color w:val="000000"/>
          <w:szCs w:val="24"/>
        </w:rPr>
      </w:pPr>
      <w:r w:rsidRPr="00A31F3C">
        <w:rPr>
          <w:b/>
          <w:color w:val="000000"/>
          <w:szCs w:val="24"/>
        </w:rPr>
        <w:t xml:space="preserve">Keywords: </w:t>
      </w:r>
      <w:r w:rsidR="006D1FE7" w:rsidRPr="006D1FE7">
        <w:rPr>
          <w:color w:val="000000"/>
          <w:szCs w:val="24"/>
        </w:rPr>
        <w:t>Tigris; Euphrates; Climate change, Iraq.</w:t>
      </w:r>
    </w:p>
    <w:p w:rsidR="00034661" w:rsidRPr="000574E9" w:rsidRDefault="00F03418" w:rsidP="006D1FE7">
      <w:pPr>
        <w:spacing w:after="240"/>
        <w:rPr>
          <w:b/>
          <w:sz w:val="30"/>
          <w:szCs w:val="30"/>
        </w:rPr>
      </w:pPr>
      <w:r w:rsidRPr="000574E9">
        <w:rPr>
          <w:b/>
          <w:sz w:val="30"/>
          <w:szCs w:val="30"/>
        </w:rPr>
        <w:t xml:space="preserve">1 </w:t>
      </w:r>
      <w:r w:rsidR="00EF5A57">
        <w:rPr>
          <w:b/>
          <w:sz w:val="30"/>
          <w:szCs w:val="30"/>
        </w:rPr>
        <w:t xml:space="preserve"> </w:t>
      </w:r>
      <w:r w:rsidR="006D1FE7">
        <w:rPr>
          <w:b/>
          <w:sz w:val="30"/>
          <w:szCs w:val="30"/>
        </w:rPr>
        <w:t xml:space="preserve"> </w:t>
      </w:r>
      <w:r w:rsidR="006D1FE7" w:rsidRPr="006D1FE7">
        <w:rPr>
          <w:b/>
          <w:sz w:val="30"/>
          <w:szCs w:val="30"/>
        </w:rPr>
        <w:t>Global Climate Change</w:t>
      </w:r>
      <w:r w:rsidR="00034661" w:rsidRPr="000574E9">
        <w:rPr>
          <w:b/>
          <w:sz w:val="30"/>
          <w:szCs w:val="30"/>
        </w:rPr>
        <w:t xml:space="preserve"> </w:t>
      </w:r>
    </w:p>
    <w:p w:rsidR="006D1FE7" w:rsidRPr="006D1FE7" w:rsidRDefault="006D1FE7" w:rsidP="006D1FE7">
      <w:pPr>
        <w:spacing w:after="240" w:line="240" w:lineRule="auto"/>
        <w:rPr>
          <w:iCs/>
        </w:rPr>
      </w:pPr>
      <w:r w:rsidRPr="006D1FE7">
        <w:rPr>
          <w:iCs/>
        </w:rPr>
        <w:t xml:space="preserve">The subject of Climate Change has become nowadays a hot topic for the media and for lengthy discussions of the politicians in the various countries of the world.  The focus of this change is global warming which has become so much noticeable </w:t>
      </w:r>
      <w:proofErr w:type="gramStart"/>
      <w:r w:rsidRPr="006D1FE7">
        <w:rPr>
          <w:iCs/>
        </w:rPr>
        <w:lastRenderedPageBreak/>
        <w:t>everywhere</w:t>
      </w:r>
      <w:proofErr w:type="gramEnd"/>
      <w:r w:rsidRPr="006D1FE7">
        <w:rPr>
          <w:iCs/>
        </w:rPr>
        <w:t>. Much scientific studies and research have been conducted so far on the factors contributing to this warming and its contribution to disasters and deep environmental changes. Climate change can cause significant impacts on water resources and the hydrological cycle resulting in such things like the fast melting of the North and South Pole’s snowpack, the associated sea level rising, changes of the precipitation pattern over almost all parts of the world can also be mentioned. Other changes to specific regions fall within the framework of these changes and have become daily news on the media, such as violent tornados, recurrent hurricanes, severe droughts and loss of crop in addition to unprecedented sandstorms and desertification. Major sectors consequently shall suffer: such as agriculture, industry, human welfare and health sectors and development in general.</w:t>
      </w:r>
    </w:p>
    <w:p w:rsidR="006D1FE7" w:rsidRPr="006D1FE7" w:rsidRDefault="006D1FE7" w:rsidP="006D1FE7">
      <w:pPr>
        <w:spacing w:after="240" w:line="240" w:lineRule="auto"/>
        <w:rPr>
          <w:iCs/>
        </w:rPr>
      </w:pPr>
      <w:r w:rsidRPr="006D1FE7">
        <w:rPr>
          <w:iCs/>
        </w:rPr>
        <w:t xml:space="preserve">Climate change is not a new phenomenon; Geological records have revealed the history of the planet's climate to be a peculiar combination of both variability and stability. Global climate conditions have been favorable for human life and relatively stable for the past 10000 years and suitable for other forms of life for over 3 billion years. But geological evidence also shows that momentous changes in climate can occur in periods as short as decades or </w:t>
      </w:r>
      <w:proofErr w:type="gramStart"/>
      <w:r w:rsidRPr="006D1FE7">
        <w:rPr>
          <w:iCs/>
        </w:rPr>
        <w:t>centuries  [</w:t>
      </w:r>
      <w:proofErr w:type="gramEnd"/>
      <w:r w:rsidRPr="006D1FE7">
        <w:rPr>
          <w:iCs/>
        </w:rPr>
        <w:t>1]. Climate change was the subject of extensive studies and reports prepared by the Intergovernmental Panel on Climate Change (IPCC); The Panel was set up in 1988 by the United Nations Environmental Program (UNEP) and the World Meteorological Organization (WMO) to provide policymakers with regular assessments of the scientific basis of climate change, its impacts and future risks, and options for adaptation and mitigation. The Panel issued its first report in 1990 and the fifth in 2013 [2</w:t>
      </w:r>
      <w:proofErr w:type="gramStart"/>
      <w:r w:rsidRPr="006D1FE7">
        <w:rPr>
          <w:iCs/>
        </w:rPr>
        <w:t>]  .</w:t>
      </w:r>
      <w:proofErr w:type="gramEnd"/>
      <w:r w:rsidRPr="006D1FE7">
        <w:rPr>
          <w:iCs/>
        </w:rPr>
        <w:t xml:space="preserve"> The definition of Climate Change by the [3] states: “It refers to a statistically significant variation in either the mean state of the climate or in its variability, persisting for an extended period (decades). Climatic changes may be due to natural internal processes or external forcing or, to persistent anthropogenic changes”. The (IPCC) qualifies this definition by adding: “it is the change which may occur over the next century (21st) as a result of human activates in the composition of the atmosphere or in land use” [4].</w:t>
      </w:r>
    </w:p>
    <w:p w:rsidR="006D1FE7" w:rsidRPr="006D1FE7" w:rsidRDefault="006D1FE7" w:rsidP="006D1FE7">
      <w:pPr>
        <w:spacing w:after="240" w:line="240" w:lineRule="auto"/>
        <w:rPr>
          <w:iCs/>
        </w:rPr>
      </w:pPr>
      <w:r w:rsidRPr="006D1FE7">
        <w:rPr>
          <w:iCs/>
        </w:rPr>
        <w:t xml:space="preserve">Richard Muller in his physics </w:t>
      </w:r>
      <w:proofErr w:type="gramStart"/>
      <w:r w:rsidRPr="006D1FE7">
        <w:rPr>
          <w:iCs/>
        </w:rPr>
        <w:t>book  [</w:t>
      </w:r>
      <w:proofErr w:type="gramEnd"/>
      <w:r w:rsidRPr="006D1FE7">
        <w:rPr>
          <w:iCs/>
        </w:rPr>
        <w:t>5,6]  discusses in details the finding of the (IPCC) and goes further into the history, causes and effects of climate Change.  The book gives a brief history of global warming and traces it to the last major ice age about 12,000 B.C; when the average temperature of Earth was more than 10ºF colder than now (Fig.1).  It shows also that agriculture was invented at the beginning of the current warm period about 8,000 B.C. (Fig.1). These findings were based on estimates from Greenland ice measurements of oxygen isotopes.</w:t>
      </w:r>
    </w:p>
    <w:p w:rsidR="006D1FE7" w:rsidRPr="006D1FE7" w:rsidRDefault="006D1FE7" w:rsidP="006D1FE7">
      <w:pPr>
        <w:spacing w:after="240" w:line="240" w:lineRule="auto"/>
        <w:rPr>
          <w:iCs/>
        </w:rPr>
      </w:pPr>
      <w:r w:rsidRPr="006D1FE7">
        <w:rPr>
          <w:iCs/>
        </w:rPr>
        <w:t xml:space="preserve">The analysis of much later results based on accurate thermometer recordings from 1850 up to now, (Fig.2), indicates a rise in the average temperature of Earth amounting to 2ºF (about 1ºC). Some people think that the global warming is not caused by human activity, but is simply recovering from whatever natural </w:t>
      </w:r>
      <w:r w:rsidRPr="006D1FE7">
        <w:rPr>
          <w:iCs/>
        </w:rPr>
        <w:lastRenderedPageBreak/>
        <w:t>phenomenon that caused the little ice age shown in (Fig.1). The (IPCC) does not rule out this possibility; in fact, it is  possible that the rise from 1850 t0 1950 was natural phenomenon, perhaps due to changes in the Sun; the subsequent warming from 1957 until now is different; The (IPCC) says that this warming was very likely caused, at least in part, by human activity and that most of the observed warming over the last 50 years is likely to have come due to increase in greenhouse gas concentration, and adds that discernible human influences extend now to other aspects of climate change, including ocean warming, continental-average temperatures rise, temperature extremes and the wind  [7].</w:t>
      </w:r>
    </w:p>
    <w:p w:rsidR="006D1FE7" w:rsidRPr="006D1FE7" w:rsidRDefault="006D1FE7" w:rsidP="006D1FE7">
      <w:pPr>
        <w:spacing w:after="240" w:line="240" w:lineRule="auto"/>
        <w:rPr>
          <w:iCs/>
        </w:rPr>
      </w:pPr>
      <w:r w:rsidRPr="006D1FE7">
        <w:rPr>
          <w:iCs/>
        </w:rPr>
        <w:t>In tracing the reasons for this rise in temperature scientific evidence attributes it to increased use of fossil fuel leading to increased release of carbon dioxide CO2.  Research has shown that the concentration of CO2 has increased from a relatively constant level of 280 parts per million where it had been during the period from AD800 – AD1800 to the value of 380 parts per million in the last decade of the previous century: an increase of 36%.</w:t>
      </w:r>
    </w:p>
    <w:p w:rsidR="000375F9" w:rsidRDefault="006D1FE7" w:rsidP="006D1FE7">
      <w:pPr>
        <w:spacing w:after="240" w:line="240" w:lineRule="auto"/>
        <w:rPr>
          <w:iCs/>
        </w:rPr>
      </w:pPr>
      <w:r w:rsidRPr="006D1FE7">
        <w:rPr>
          <w:iCs/>
        </w:rPr>
        <w:t>So it may be stated that the warming phenomenon which is generally called the greenhouse effect is attributed to the this increased concentration of CO2 and some other related gases (GHS)  in the atmosphere as a result of increased human activity. According to SRES ( Special Report on Emission Scenarios) for the greenhouse gas, the projections of the temperature at the end of the 21st century in the absence of any action to limit this emission range from 1.1ºC to 6.4ºC, compared to end- 20th century   [8]. IPCC defined six emission scenarios from 2000 to 2100 in the absence of additional climatic policies as shown in (Fig. 3). This figure indicates that the degree of severity of these Scenarios increases from the Sce</w:t>
      </w:r>
      <w:r>
        <w:rPr>
          <w:iCs/>
        </w:rPr>
        <w:t>nario (B1) to Scenario (A1F1)</w:t>
      </w:r>
      <w:r w:rsidRPr="006D1FE7">
        <w:rPr>
          <w:iCs/>
        </w:rPr>
        <w:t xml:space="preserve"> [9].</w:t>
      </w:r>
    </w:p>
    <w:p w:rsidR="006D1FE7" w:rsidRDefault="006D1FE7" w:rsidP="006D1FE7">
      <w:pPr>
        <w:spacing w:line="240" w:lineRule="auto"/>
        <w:jc w:val="center"/>
        <w:rPr>
          <w:iCs/>
        </w:rPr>
      </w:pPr>
      <w:r w:rsidRPr="006D1FE7">
        <w:rPr>
          <w:rFonts w:eastAsia="Calibri"/>
          <w:noProof/>
          <w:sz w:val="28"/>
          <w:szCs w:val="28"/>
          <w:lang w:eastAsia="en-US"/>
        </w:rPr>
        <w:drawing>
          <wp:inline distT="0" distB="0" distL="0" distR="0" wp14:anchorId="517B17DD" wp14:editId="7A4F4C9A">
            <wp:extent cx="3216172" cy="2118360"/>
            <wp:effectExtent l="0" t="0" r="381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240782" cy="2134570"/>
                    </a:xfrm>
                    <a:prstGeom prst="rect">
                      <a:avLst/>
                    </a:prstGeom>
                    <a:noFill/>
                    <a:ln>
                      <a:noFill/>
                    </a:ln>
                  </pic:spPr>
                </pic:pic>
              </a:graphicData>
            </a:graphic>
          </wp:inline>
        </w:drawing>
      </w:r>
    </w:p>
    <w:p w:rsidR="006D1FE7" w:rsidRDefault="006D1FE7" w:rsidP="006D1FE7">
      <w:pPr>
        <w:spacing w:line="240" w:lineRule="auto"/>
        <w:jc w:val="center"/>
        <w:rPr>
          <w:iCs/>
        </w:rPr>
      </w:pPr>
      <w:r w:rsidRPr="006D1FE7">
        <w:rPr>
          <w:iCs/>
        </w:rPr>
        <w:t>Fig.1.Temperature from 12,000(BC) to the present from Greenland ice measurements of Oxygen isotopes ([5])</w:t>
      </w:r>
    </w:p>
    <w:p w:rsidR="006D1FE7" w:rsidRDefault="006D1FE7" w:rsidP="006D1FE7">
      <w:pPr>
        <w:spacing w:after="240" w:line="240" w:lineRule="auto"/>
        <w:jc w:val="center"/>
        <w:rPr>
          <w:iCs/>
        </w:rPr>
      </w:pPr>
      <w:r w:rsidRPr="005B1A8D">
        <w:rPr>
          <w:rFonts w:asciiTheme="majorBidi" w:hAnsiTheme="majorBidi" w:cstheme="majorBidi"/>
          <w:noProof/>
          <w:sz w:val="28"/>
          <w:szCs w:val="28"/>
          <w:lang w:eastAsia="en-US"/>
        </w:rPr>
        <w:lastRenderedPageBreak/>
        <w:drawing>
          <wp:inline distT="0" distB="0" distL="0" distR="0" wp14:anchorId="2BFAEB9A" wp14:editId="542D2F1D">
            <wp:extent cx="3284588" cy="1991360"/>
            <wp:effectExtent l="0" t="0" r="0" b="8890"/>
            <wp:docPr id="6" name="Picture 6" descr="C:\Users\HP-PC\Documents\Tigris and Euphrates Book\Climate Change-1-1-p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380797" name="Picture 1" descr="C:\Users\HP-PC\Documents\Tigris and Euphrates Book\Climate Change-1-1-page-001.jpg"/>
                    <pic:cNvPicPr>
                      <a:picLocks noChangeAspect="1" noChangeArrowheads="1"/>
                    </pic:cNvPicPr>
                  </pic:nvPicPr>
                  <pic:blipFill>
                    <a:blip r:embed="rId9" cstate="print"/>
                    <a:stretch>
                      <a:fillRect/>
                    </a:stretch>
                  </pic:blipFill>
                  <pic:spPr bwMode="auto">
                    <a:xfrm>
                      <a:off x="0" y="0"/>
                      <a:ext cx="3307371" cy="2005172"/>
                    </a:xfrm>
                    <a:prstGeom prst="rect">
                      <a:avLst/>
                    </a:prstGeom>
                    <a:noFill/>
                    <a:ln w="9525">
                      <a:noFill/>
                      <a:miter lim="800000"/>
                      <a:headEnd/>
                      <a:tailEnd/>
                    </a:ln>
                  </pic:spPr>
                </pic:pic>
              </a:graphicData>
            </a:graphic>
          </wp:inline>
        </w:drawing>
      </w:r>
    </w:p>
    <w:p w:rsidR="006D1FE7" w:rsidRDefault="006D1FE7" w:rsidP="006D1FE7">
      <w:pPr>
        <w:spacing w:after="240" w:line="240" w:lineRule="auto"/>
        <w:jc w:val="center"/>
        <w:rPr>
          <w:iCs/>
        </w:rPr>
      </w:pPr>
      <w:r w:rsidRPr="006D1FE7">
        <w:rPr>
          <w:iCs/>
        </w:rPr>
        <w:t>Fig.2. Earth average Temperature 1859 to 2006 ([5].)</w:t>
      </w:r>
    </w:p>
    <w:p w:rsidR="006D1FE7" w:rsidRDefault="006D1FE7" w:rsidP="006D1FE7">
      <w:pPr>
        <w:spacing w:line="240" w:lineRule="auto"/>
        <w:jc w:val="center"/>
        <w:rPr>
          <w:iCs/>
        </w:rPr>
      </w:pPr>
      <w:r w:rsidRPr="005B1A8D">
        <w:rPr>
          <w:rFonts w:asciiTheme="majorBidi" w:hAnsiTheme="majorBidi" w:cstheme="majorBidi"/>
          <w:noProof/>
          <w:szCs w:val="24"/>
          <w:lang w:eastAsia="en-US"/>
        </w:rPr>
        <w:drawing>
          <wp:inline distT="0" distB="0" distL="0" distR="0" wp14:anchorId="6712895B" wp14:editId="4D2C4771">
            <wp:extent cx="3703320" cy="2156885"/>
            <wp:effectExtent l="0" t="0" r="0" b="0"/>
            <wp:docPr id="7" name="Picture 1" descr="C:\Users\HP-PC\Downloads\Historical and Future Climatic Change Scenarios-7-7 (1)-p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592141" name="Picture 1" descr="C:\Users\HP-PC\Downloads\Historical and Future Climatic Change Scenarios-7-7 (1)-page-001.jpg"/>
                    <pic:cNvPicPr>
                      <a:picLocks noChangeAspect="1" noChangeArrowheads="1"/>
                    </pic:cNvPicPr>
                  </pic:nvPicPr>
                  <pic:blipFill>
                    <a:blip r:embed="rId10" cstate="print"/>
                    <a:stretch>
                      <a:fillRect/>
                    </a:stretch>
                  </pic:blipFill>
                  <pic:spPr bwMode="auto">
                    <a:xfrm>
                      <a:off x="0" y="0"/>
                      <a:ext cx="3716892" cy="2164790"/>
                    </a:xfrm>
                    <a:prstGeom prst="rect">
                      <a:avLst/>
                    </a:prstGeom>
                    <a:noFill/>
                    <a:ln w="9525">
                      <a:noFill/>
                      <a:miter lim="800000"/>
                      <a:headEnd/>
                      <a:tailEnd/>
                    </a:ln>
                  </pic:spPr>
                </pic:pic>
              </a:graphicData>
            </a:graphic>
          </wp:inline>
        </w:drawing>
      </w:r>
    </w:p>
    <w:p w:rsidR="006D1FE7" w:rsidRPr="006D1FE7" w:rsidRDefault="006D1FE7" w:rsidP="006D1FE7">
      <w:pPr>
        <w:spacing w:line="240" w:lineRule="auto"/>
        <w:jc w:val="center"/>
        <w:rPr>
          <w:iCs/>
        </w:rPr>
      </w:pPr>
      <w:r w:rsidRPr="006D1FE7">
        <w:rPr>
          <w:iCs/>
        </w:rPr>
        <w:t>Fig 3: Scenarios for GHG emission from 2000 to 2100 in the absence of additional climate policies, and projections of surface Temperature ([9]).</w:t>
      </w:r>
    </w:p>
    <w:p w:rsidR="006D1FE7" w:rsidRDefault="006D1FE7" w:rsidP="006D1FE7">
      <w:pPr>
        <w:spacing w:after="240" w:line="240" w:lineRule="auto"/>
        <w:jc w:val="center"/>
        <w:rPr>
          <w:iCs/>
        </w:rPr>
      </w:pPr>
    </w:p>
    <w:p w:rsidR="006D1FE7" w:rsidRPr="006D1FE7" w:rsidRDefault="006D1FE7" w:rsidP="006D1FE7">
      <w:pPr>
        <w:spacing w:after="240" w:line="240" w:lineRule="auto"/>
        <w:rPr>
          <w:iCs/>
        </w:rPr>
      </w:pPr>
      <w:r w:rsidRPr="006D1FE7">
        <w:rPr>
          <w:iCs/>
        </w:rPr>
        <w:t xml:space="preserve">The warming mechanism occurs as a result of reflecting part of the solar infrared radiation (IR) hitting the surface of the Earth: part of this reflected radiation will be released into the atmosphere while the other part is absorbed by (GHG) consisting of CO2 and water vapor and to lesser degree by other gases which are increased as a result of continuous burning of fossil fuel; half of the absorbed radiation will then be reflected back to earth causing more warming of the Earth surface, and the other half escapes out. This is similar to the action of the glass of a greenhouse which traps most of the reflected radiation. The four major gases forming the Greenhouse gas (GHG), are water vapor (36-70%), Carbon Dioxide (9-26%), Methane (4-9%), and ozone (3-7%). </w:t>
      </w:r>
    </w:p>
    <w:p w:rsidR="006D1FE7" w:rsidRDefault="006D1FE7" w:rsidP="006D1FE7">
      <w:pPr>
        <w:spacing w:after="240" w:line="240" w:lineRule="auto"/>
        <w:rPr>
          <w:iCs/>
        </w:rPr>
      </w:pPr>
      <w:r w:rsidRPr="006D1FE7">
        <w:rPr>
          <w:iCs/>
        </w:rPr>
        <w:t xml:space="preserve">In predicting future climate change on any region in the world, modeling studies are normally performed to forecast these changes to such a future time as the end of the </w:t>
      </w:r>
      <w:r w:rsidRPr="006D1FE7">
        <w:rPr>
          <w:iCs/>
        </w:rPr>
        <w:lastRenderedPageBreak/>
        <w:t>21st Century. Such studies may use one or more of the IPCC defined emission scenarios in its inputs and utilize one of the global climate models (GCMs). Other modeling procedures may even utilize some kind of hydrologic models such as the Max Plank Institute Hydrological model or one of the Regional Climate models for a climatic application (RCMs). More is going to be said on this later on in this chapter.</w:t>
      </w:r>
    </w:p>
    <w:p w:rsidR="006D1FE7" w:rsidRPr="006D1FE7" w:rsidRDefault="006D1FE7" w:rsidP="006D1FE7">
      <w:pPr>
        <w:spacing w:after="240" w:line="240" w:lineRule="auto"/>
        <w:rPr>
          <w:iCs/>
          <w:color w:val="000000"/>
          <w:szCs w:val="24"/>
        </w:rPr>
      </w:pPr>
    </w:p>
    <w:p w:rsidR="0077016D" w:rsidRPr="000574E9" w:rsidRDefault="0077016D" w:rsidP="006D1FE7">
      <w:pPr>
        <w:spacing w:after="240" w:line="240" w:lineRule="auto"/>
        <w:rPr>
          <w:b/>
          <w:sz w:val="30"/>
          <w:szCs w:val="30"/>
        </w:rPr>
      </w:pPr>
      <w:r w:rsidRPr="000574E9">
        <w:rPr>
          <w:b/>
          <w:sz w:val="30"/>
          <w:szCs w:val="30"/>
        </w:rPr>
        <w:t>2</w:t>
      </w:r>
      <w:r w:rsidR="00F03418" w:rsidRPr="000574E9">
        <w:rPr>
          <w:b/>
          <w:sz w:val="30"/>
          <w:szCs w:val="30"/>
        </w:rPr>
        <w:t xml:space="preserve"> </w:t>
      </w:r>
      <w:r w:rsidR="006D1FE7">
        <w:rPr>
          <w:b/>
          <w:sz w:val="30"/>
          <w:szCs w:val="30"/>
        </w:rPr>
        <w:t xml:space="preserve"> </w:t>
      </w:r>
      <w:r w:rsidR="00B85B16" w:rsidRPr="000574E9">
        <w:rPr>
          <w:b/>
          <w:sz w:val="30"/>
          <w:szCs w:val="30"/>
        </w:rPr>
        <w:t xml:space="preserve"> </w:t>
      </w:r>
      <w:r w:rsidR="006D1FE7" w:rsidRPr="006D1FE7">
        <w:rPr>
          <w:b/>
          <w:sz w:val="30"/>
          <w:szCs w:val="30"/>
        </w:rPr>
        <w:t>Climate Change and its impact on the Middle East</w:t>
      </w:r>
    </w:p>
    <w:p w:rsidR="006D1FE7" w:rsidRPr="006D1FE7" w:rsidRDefault="006D1FE7" w:rsidP="006D1FE7">
      <w:pPr>
        <w:spacing w:after="240" w:line="240" w:lineRule="auto"/>
        <w:rPr>
          <w:bCs/>
          <w:sz w:val="28"/>
          <w:szCs w:val="28"/>
        </w:rPr>
      </w:pPr>
      <w:r w:rsidRPr="006D1FE7">
        <w:rPr>
          <w:bCs/>
          <w:sz w:val="28"/>
          <w:szCs w:val="28"/>
        </w:rPr>
        <w:t xml:space="preserve">The fact that Global Climate Change is hitting all the regions of the world is clear. The Middle East and North Africa (MENA) is one of the climatic regions of the world which is having its share of these changes.                                                     </w:t>
      </w:r>
    </w:p>
    <w:p w:rsidR="006D1FE7" w:rsidRPr="006D1FE7" w:rsidRDefault="006D1FE7" w:rsidP="006D1FE7">
      <w:pPr>
        <w:spacing w:after="240" w:line="240" w:lineRule="auto"/>
        <w:rPr>
          <w:bCs/>
          <w:sz w:val="28"/>
          <w:szCs w:val="28"/>
        </w:rPr>
      </w:pPr>
      <w:r w:rsidRPr="006D1FE7">
        <w:rPr>
          <w:bCs/>
          <w:sz w:val="28"/>
          <w:szCs w:val="28"/>
        </w:rPr>
        <w:t>The region consists of 25 countries covering an area of 14 million km2 and 358 million inhabitants The (MENA) land (Fig.4) extends from the Atlantic Ocean in the west to the Arabian Sea in the east, and from the Mediterranean Sea in the north to the (Africa Horn) and the Indian Ocean in the southeast.</w:t>
      </w:r>
    </w:p>
    <w:p w:rsidR="00E36F2A" w:rsidRDefault="006D1FE7" w:rsidP="006D1FE7">
      <w:pPr>
        <w:spacing w:after="240" w:line="240" w:lineRule="auto"/>
        <w:rPr>
          <w:bCs/>
          <w:sz w:val="28"/>
          <w:szCs w:val="28"/>
        </w:rPr>
      </w:pPr>
      <w:r w:rsidRPr="006D1FE7">
        <w:rPr>
          <w:bCs/>
          <w:sz w:val="28"/>
          <w:szCs w:val="28"/>
        </w:rPr>
        <w:t>Almost all of the (MENA) countries are located in semi-arid and arid regions that are highly vulnerable to climatic changes. The annual rainfall at (MENA) countries is about 2,282 billion m3, while the annual surface water is about 205 billion m3 and the annual groundwater is about 35 billion m3.The annual rainfall distribution varies where 52% of the (MENA) countries receive an average of less than100 mm, while 15% receive between 100 mm to 300 mm and 18% receive more than 300 mm. Some countries like Lebanon, Syria and North African countries and southern Sudan receive annual rainfall about 1,500 mm. The (MENA) countries depend on agriculture and oil for their economy; therefore they are vulnerable to any climatic variations, as well as any mitigation policy a</w:t>
      </w:r>
      <w:r>
        <w:rPr>
          <w:bCs/>
          <w:sz w:val="28"/>
          <w:szCs w:val="28"/>
        </w:rPr>
        <w:t>imed at reducing oil dependence</w:t>
      </w:r>
      <w:r w:rsidRPr="006D1FE7">
        <w:rPr>
          <w:bCs/>
          <w:sz w:val="28"/>
          <w:szCs w:val="28"/>
        </w:rPr>
        <w:t xml:space="preserve"> [9].</w:t>
      </w:r>
    </w:p>
    <w:p w:rsidR="006D1FE7" w:rsidRDefault="006D1FE7" w:rsidP="006D1FE7">
      <w:pPr>
        <w:spacing w:after="240" w:line="240" w:lineRule="auto"/>
        <w:rPr>
          <w:bCs/>
          <w:sz w:val="28"/>
          <w:szCs w:val="28"/>
        </w:rPr>
      </w:pPr>
      <w:r w:rsidRPr="006D1FE7">
        <w:rPr>
          <w:bCs/>
          <w:sz w:val="28"/>
          <w:szCs w:val="28"/>
        </w:rPr>
        <w:t>The region is influenced by its geographical location that increases the impact of climate change and most of the region is classified as hyper-arid, semi-arid and arid zones (Fig.5).</w:t>
      </w:r>
    </w:p>
    <w:p w:rsidR="006D1FE7" w:rsidRPr="005B1A8D" w:rsidRDefault="006D1FE7" w:rsidP="006D1FE7">
      <w:pPr>
        <w:spacing w:line="240" w:lineRule="auto"/>
        <w:jc w:val="center"/>
        <w:rPr>
          <w:rFonts w:asciiTheme="majorBidi" w:hAnsiTheme="majorBidi" w:cstheme="majorBidi"/>
          <w:noProof/>
          <w:sz w:val="28"/>
          <w:szCs w:val="28"/>
          <w:lang w:val="en-GB" w:eastAsia="en-GB"/>
        </w:rPr>
      </w:pPr>
      <w:r w:rsidRPr="005B1A8D">
        <w:rPr>
          <w:rFonts w:asciiTheme="majorBidi" w:hAnsiTheme="majorBidi" w:cstheme="majorBidi"/>
          <w:noProof/>
          <w:sz w:val="28"/>
          <w:szCs w:val="28"/>
          <w:lang w:eastAsia="en-US"/>
        </w:rPr>
        <w:lastRenderedPageBreak/>
        <w:drawing>
          <wp:inline distT="0" distB="0" distL="0" distR="0" wp14:anchorId="0E2A67AC" wp14:editId="0BD7E39D">
            <wp:extent cx="3466465" cy="1846736"/>
            <wp:effectExtent l="38100" t="38100" r="38735" b="39370"/>
            <wp:docPr id="8" name="Picture 1" descr="C:\Users\HP-PC\Downloads\istorical and Future Climatic Change Scenarios for-2-2-p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932048" name="Picture 1" descr="C:\Users\HP-PC\Downloads\istorical and Future Climatic Change Scenarios for-2-2-page-001.jpg"/>
                    <pic:cNvPicPr>
                      <a:picLocks noChangeAspect="1" noChangeArrowheads="1"/>
                    </pic:cNvPicPr>
                  </pic:nvPicPr>
                  <pic:blipFill>
                    <a:blip r:embed="rId11" cstate="print"/>
                    <a:srcRect l="2643" t="4601" r="4009" b="3067"/>
                    <a:stretch>
                      <a:fillRect/>
                    </a:stretch>
                  </pic:blipFill>
                  <pic:spPr bwMode="auto">
                    <a:xfrm>
                      <a:off x="0" y="0"/>
                      <a:ext cx="3492138" cy="1860413"/>
                    </a:xfrm>
                    <a:prstGeom prst="rect">
                      <a:avLst/>
                    </a:prstGeom>
                    <a:noFill/>
                    <a:ln w="28575">
                      <a:solidFill>
                        <a:schemeClr val="tx1"/>
                      </a:solidFill>
                      <a:miter lim="800000"/>
                      <a:headEnd/>
                      <a:tailEnd/>
                    </a:ln>
                  </pic:spPr>
                </pic:pic>
              </a:graphicData>
            </a:graphic>
          </wp:inline>
        </w:drawing>
      </w:r>
    </w:p>
    <w:p w:rsidR="006D1FE7" w:rsidRPr="006D1FE7" w:rsidRDefault="006D1FE7" w:rsidP="006D1FE7">
      <w:pPr>
        <w:autoSpaceDE w:val="0"/>
        <w:autoSpaceDN w:val="0"/>
        <w:spacing w:line="240" w:lineRule="auto"/>
        <w:jc w:val="center"/>
        <w:rPr>
          <w:bCs/>
          <w:sz w:val="28"/>
          <w:szCs w:val="28"/>
        </w:rPr>
      </w:pPr>
      <w:r w:rsidRPr="006D1FE7">
        <w:rPr>
          <w:bCs/>
          <w:sz w:val="28"/>
          <w:szCs w:val="28"/>
        </w:rPr>
        <w:t>Fig.4: Map of the MENA countries.</w:t>
      </w:r>
    </w:p>
    <w:p w:rsidR="006D1FE7" w:rsidRPr="005B1A8D" w:rsidRDefault="006D1FE7" w:rsidP="006D1FE7">
      <w:pPr>
        <w:spacing w:line="240" w:lineRule="auto"/>
        <w:jc w:val="center"/>
        <w:rPr>
          <w:rFonts w:asciiTheme="majorBidi" w:hAnsiTheme="majorBidi" w:cstheme="majorBidi"/>
          <w:noProof/>
          <w:sz w:val="28"/>
          <w:szCs w:val="28"/>
          <w:lang w:val="en-GB" w:eastAsia="en-GB"/>
        </w:rPr>
      </w:pPr>
      <w:r w:rsidRPr="005B1A8D">
        <w:rPr>
          <w:rFonts w:asciiTheme="majorBidi" w:hAnsiTheme="majorBidi" w:cstheme="majorBidi"/>
          <w:noProof/>
          <w:sz w:val="28"/>
          <w:szCs w:val="28"/>
          <w:lang w:eastAsia="en-US"/>
        </w:rPr>
        <w:drawing>
          <wp:inline distT="0" distB="0" distL="0" distR="0" wp14:anchorId="7443C55D" wp14:editId="66F77DFD">
            <wp:extent cx="2662555" cy="1366520"/>
            <wp:effectExtent l="38100" t="38100" r="42545" b="43180"/>
            <wp:docPr id="9" name="Picture 2" descr="C:\Users\HP-PC\Downloads\istorical and Future Climatic Change Scenarios for-7-7-page-001.jpg"/>
            <wp:cNvGraphicFramePr/>
            <a:graphic xmlns:a="http://schemas.openxmlformats.org/drawingml/2006/main">
              <a:graphicData uri="http://schemas.openxmlformats.org/drawingml/2006/picture">
                <pic:pic xmlns:pic="http://schemas.openxmlformats.org/drawingml/2006/picture">
                  <pic:nvPicPr>
                    <pic:cNvPr id="1816608307" name="Picture 2" descr="C:\Users\HP-PC\Downloads\istorical and Future Climatic Change Scenarios for-7-7-page-001.jpg"/>
                    <pic:cNvPicPr>
                      <a:picLocks noChangeAspect="1" noChangeArrowheads="1"/>
                    </pic:cNvPicPr>
                  </pic:nvPicPr>
                  <pic:blipFill>
                    <a:blip r:embed="rId12" cstate="print"/>
                    <a:srcRect l="21840" t="13246" r="21883" b="64916"/>
                    <a:stretch>
                      <a:fillRect/>
                    </a:stretch>
                  </pic:blipFill>
                  <pic:spPr bwMode="auto">
                    <a:xfrm>
                      <a:off x="0" y="0"/>
                      <a:ext cx="2662555" cy="1366520"/>
                    </a:xfrm>
                    <a:prstGeom prst="rect">
                      <a:avLst/>
                    </a:prstGeom>
                    <a:noFill/>
                    <a:ln w="28575">
                      <a:solidFill>
                        <a:schemeClr val="tx1"/>
                      </a:solidFill>
                      <a:miter lim="800000"/>
                      <a:headEnd/>
                      <a:tailEnd/>
                    </a:ln>
                  </pic:spPr>
                </pic:pic>
              </a:graphicData>
            </a:graphic>
          </wp:inline>
        </w:drawing>
      </w:r>
    </w:p>
    <w:p w:rsidR="006D1FE7" w:rsidRPr="006D1FE7" w:rsidRDefault="006D1FE7" w:rsidP="006D1FE7">
      <w:pPr>
        <w:autoSpaceDE w:val="0"/>
        <w:autoSpaceDN w:val="0"/>
        <w:spacing w:line="240" w:lineRule="auto"/>
        <w:jc w:val="center"/>
        <w:rPr>
          <w:bCs/>
          <w:sz w:val="28"/>
          <w:szCs w:val="28"/>
        </w:rPr>
      </w:pPr>
      <w:r w:rsidRPr="006D1FE7">
        <w:rPr>
          <w:bCs/>
          <w:sz w:val="28"/>
          <w:szCs w:val="28"/>
        </w:rPr>
        <w:t>Fig.5: Aridity Zones of the World.</w:t>
      </w:r>
    </w:p>
    <w:p w:rsidR="006D1FE7" w:rsidRPr="006D1FE7" w:rsidRDefault="006D1FE7" w:rsidP="006D1FE7">
      <w:pPr>
        <w:autoSpaceDE w:val="0"/>
        <w:autoSpaceDN w:val="0"/>
        <w:spacing w:line="240" w:lineRule="auto"/>
        <w:jc w:val="center"/>
        <w:rPr>
          <w:bCs/>
          <w:sz w:val="28"/>
          <w:szCs w:val="28"/>
        </w:rPr>
      </w:pPr>
    </w:p>
    <w:p w:rsidR="00B57183" w:rsidRDefault="00B57183" w:rsidP="003150B9">
      <w:pPr>
        <w:spacing w:after="240" w:line="240" w:lineRule="auto"/>
      </w:pPr>
    </w:p>
    <w:p w:rsidR="006D1FE7" w:rsidRPr="006D1FE7" w:rsidRDefault="006D1FE7" w:rsidP="006D1FE7">
      <w:pPr>
        <w:widowControl/>
        <w:adjustRightInd/>
        <w:spacing w:line="240" w:lineRule="auto"/>
        <w:ind w:firstLine="1304"/>
        <w:textAlignment w:val="auto"/>
        <w:rPr>
          <w:rFonts w:eastAsia="Calibri"/>
          <w:noProof/>
          <w:sz w:val="28"/>
          <w:szCs w:val="28"/>
          <w:lang w:eastAsia="en-GB"/>
        </w:rPr>
      </w:pPr>
      <w:r w:rsidRPr="006D1FE7">
        <w:rPr>
          <w:rFonts w:eastAsia="Calibri"/>
          <w:noProof/>
          <w:sz w:val="28"/>
          <w:szCs w:val="28"/>
          <w:lang w:eastAsia="en-GB"/>
        </w:rPr>
        <w:t xml:space="preserve">This region is experiencing its share of the adverse effects resulting from greenhouse gas (GHG) global emission. World Research Institute, reported, </w:t>
      </w:r>
      <w:r w:rsidRPr="006D1FE7">
        <w:rPr>
          <w:rFonts w:eastAsia="Calibri"/>
          <w:sz w:val="28"/>
          <w:szCs w:val="28"/>
          <w:lang w:eastAsia="en-US"/>
        </w:rPr>
        <w:t>[10]</w:t>
      </w:r>
      <w:r w:rsidRPr="006D1FE7">
        <w:rPr>
          <w:rFonts w:eastAsia="Calibri"/>
          <w:noProof/>
          <w:sz w:val="28"/>
          <w:szCs w:val="28"/>
          <w:lang w:val="en-GB" w:eastAsia="en-GB"/>
        </w:rPr>
        <w:t xml:space="preserve"> </w:t>
      </w:r>
      <w:r w:rsidRPr="006D1FE7">
        <w:rPr>
          <w:rFonts w:eastAsia="Calibri"/>
          <w:noProof/>
          <w:sz w:val="28"/>
          <w:szCs w:val="28"/>
          <w:lang w:eastAsia="en-GB"/>
        </w:rPr>
        <w:t>that the total global emissions grew up 12.7% between 2000 and 2005, at an average of 2.4% a year. Emission of individual sectors grew at rates between 40% and near zero, and there is substantial difference in growth rates between developed and developing countries with different levels, but developed countries have the greatest share in emission growth. (Fig.6) shows the regional distribution of greenhouse gases emission GHG) according to the same reference.</w:t>
      </w:r>
    </w:p>
    <w:p w:rsidR="006D1FE7" w:rsidRPr="006D1FE7" w:rsidRDefault="006D1FE7" w:rsidP="006D1FE7">
      <w:pPr>
        <w:widowControl/>
        <w:adjustRightInd/>
        <w:spacing w:line="240" w:lineRule="auto"/>
        <w:ind w:firstLine="1304"/>
        <w:textAlignment w:val="auto"/>
        <w:rPr>
          <w:rFonts w:eastAsia="Calibri"/>
          <w:noProof/>
          <w:sz w:val="28"/>
          <w:szCs w:val="28"/>
          <w:lang w:eastAsia="en-GB"/>
        </w:rPr>
      </w:pPr>
      <w:r w:rsidRPr="006D1FE7">
        <w:rPr>
          <w:rFonts w:eastAsia="Calibri"/>
          <w:noProof/>
          <w:sz w:val="28"/>
          <w:szCs w:val="28"/>
          <w:lang w:eastAsia="en-GB"/>
        </w:rPr>
        <w:t xml:space="preserve">Climate change affecting (MENA) region has many sides: First, it is markedly felt in the migration and changes in rainfall-dependent production systems and the fragile water resources regime; as the majority of rivers become variable rivers such as the Nile, the Euphrates, the Tigris (Turkey, Syria, and Iraq), and the Jordan and Yarmuk rivers- affecting recharging of aquifers in the region. Second, </w:t>
      </w:r>
      <w:r w:rsidRPr="006D1FE7">
        <w:rPr>
          <w:rFonts w:eastAsia="Calibri"/>
          <w:noProof/>
          <w:sz w:val="28"/>
          <w:szCs w:val="28"/>
          <w:lang w:eastAsia="en-GB"/>
        </w:rPr>
        <w:lastRenderedPageBreak/>
        <w:t xml:space="preserve">such changes will have their negative effects and undoubtedly lead to water shortages, droughts, loss of crop and increased potential for desertification. Finally, the other long-term implications such as the input on coastal areas, especially in Gaza, and Shat- Al- Arab (Iraq-Iran and Kuwait) could be devastating, </w:t>
      </w:r>
      <w:r w:rsidRPr="006D1FE7">
        <w:rPr>
          <w:rFonts w:eastAsia="Calibri"/>
          <w:sz w:val="28"/>
          <w:szCs w:val="28"/>
          <w:lang w:eastAsia="en-US"/>
        </w:rPr>
        <w:t>[11]</w:t>
      </w:r>
      <w:r w:rsidRPr="006D1FE7">
        <w:rPr>
          <w:rFonts w:eastAsia="Calibri"/>
          <w:noProof/>
          <w:sz w:val="28"/>
          <w:szCs w:val="28"/>
          <w:lang w:eastAsia="en-GB"/>
        </w:rPr>
        <w:t>.</w:t>
      </w:r>
    </w:p>
    <w:p w:rsidR="006D1FE7" w:rsidRPr="006D1FE7" w:rsidRDefault="006D1FE7" w:rsidP="006D1FE7">
      <w:pPr>
        <w:widowControl/>
        <w:adjustRightInd/>
        <w:spacing w:line="240" w:lineRule="auto"/>
        <w:jc w:val="center"/>
        <w:textAlignment w:val="auto"/>
        <w:rPr>
          <w:rFonts w:eastAsia="Calibri"/>
          <w:noProof/>
          <w:sz w:val="28"/>
          <w:szCs w:val="28"/>
          <w:lang w:eastAsia="en-GB"/>
        </w:rPr>
      </w:pPr>
      <w:r w:rsidRPr="006D1FE7">
        <w:rPr>
          <w:rFonts w:eastAsia="Calibri"/>
          <w:noProof/>
          <w:sz w:val="28"/>
          <w:szCs w:val="28"/>
          <w:lang w:eastAsia="en-US"/>
        </w:rPr>
        <w:drawing>
          <wp:inline distT="0" distB="0" distL="0" distR="0" wp14:anchorId="6A2D7FD3" wp14:editId="6E8DC141">
            <wp:extent cx="2149731" cy="1701165"/>
            <wp:effectExtent l="38100" t="38100" r="41275" b="32385"/>
            <wp:docPr id="14" name="Picture 1" descr="C:\Users\HP-PC\Downloads\istorical and Future Climatic Change Scenarios for-5-5 (1)-p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316526" name="Picture 1" descr="C:\Users\HP-PC\Downloads\istorical and Future Climatic Change Scenarios for-5-5 (1)-page-001.jpg"/>
                    <pic:cNvPicPr>
                      <a:picLocks noChangeAspect="1" noChangeArrowheads="1"/>
                    </pic:cNvPicPr>
                  </pic:nvPicPr>
                  <pic:blipFill>
                    <a:blip r:embed="rId13" cstate="print"/>
                    <a:srcRect l="52388" t="64336" r="10021" b="14536"/>
                    <a:stretch>
                      <a:fillRect/>
                    </a:stretch>
                  </pic:blipFill>
                  <pic:spPr bwMode="auto">
                    <a:xfrm>
                      <a:off x="0" y="0"/>
                      <a:ext cx="2159068" cy="1708554"/>
                    </a:xfrm>
                    <a:prstGeom prst="rect">
                      <a:avLst/>
                    </a:prstGeom>
                    <a:noFill/>
                    <a:ln w="28575">
                      <a:solidFill>
                        <a:sysClr val="windowText" lastClr="000000"/>
                      </a:solidFill>
                      <a:miter lim="800000"/>
                      <a:headEnd/>
                      <a:tailEnd/>
                    </a:ln>
                  </pic:spPr>
                </pic:pic>
              </a:graphicData>
            </a:graphic>
          </wp:inline>
        </w:drawing>
      </w:r>
    </w:p>
    <w:p w:rsidR="006D1FE7" w:rsidRPr="006D1FE7" w:rsidRDefault="006D1FE7" w:rsidP="006D1FE7">
      <w:pPr>
        <w:widowControl/>
        <w:autoSpaceDE w:val="0"/>
        <w:autoSpaceDN w:val="0"/>
        <w:spacing w:line="240" w:lineRule="auto"/>
        <w:jc w:val="center"/>
        <w:textAlignment w:val="auto"/>
        <w:rPr>
          <w:rFonts w:eastAsia="Calibri"/>
          <w:noProof/>
          <w:sz w:val="28"/>
          <w:szCs w:val="28"/>
          <w:lang w:eastAsia="en-GB"/>
        </w:rPr>
      </w:pPr>
      <w:r w:rsidRPr="006D1FE7">
        <w:rPr>
          <w:rFonts w:eastAsia="Calibri"/>
          <w:noProof/>
          <w:sz w:val="28"/>
          <w:szCs w:val="28"/>
          <w:lang w:eastAsia="en-GB"/>
        </w:rPr>
        <w:t>Fig. 6: Regional distribution of the GHG emission of the world through the year 2000.</w:t>
      </w:r>
    </w:p>
    <w:p w:rsidR="006D1FE7" w:rsidRPr="006D1FE7" w:rsidRDefault="006D1FE7" w:rsidP="006D1FE7">
      <w:pPr>
        <w:widowControl/>
        <w:adjustRightInd/>
        <w:spacing w:line="240" w:lineRule="auto"/>
        <w:textAlignment w:val="auto"/>
        <w:rPr>
          <w:rFonts w:eastAsia="Calibri"/>
          <w:noProof/>
          <w:sz w:val="28"/>
          <w:szCs w:val="28"/>
          <w:lang w:eastAsia="en-GB"/>
        </w:rPr>
      </w:pPr>
    </w:p>
    <w:p w:rsidR="006D1FE7" w:rsidRDefault="006D1FE7" w:rsidP="006D1FE7">
      <w:pPr>
        <w:widowControl/>
        <w:adjustRightInd/>
        <w:spacing w:line="240" w:lineRule="auto"/>
        <w:textAlignment w:val="auto"/>
        <w:rPr>
          <w:rFonts w:eastAsia="Calibri"/>
          <w:noProof/>
          <w:sz w:val="28"/>
          <w:szCs w:val="28"/>
          <w:lang w:eastAsia="en-GB"/>
        </w:rPr>
      </w:pPr>
      <w:r w:rsidRPr="006D1FE7">
        <w:rPr>
          <w:rFonts w:eastAsia="Calibri"/>
          <w:noProof/>
          <w:sz w:val="28"/>
          <w:szCs w:val="28"/>
          <w:lang w:eastAsia="en-GB"/>
        </w:rPr>
        <w:t xml:space="preserve">The impact of sea level rise (SLR) is one obvious impact as a result of climate change. It is very likely that 20th-century global warming has caused an increase in the size of seas and oceans as well as loss of land ice </w:t>
      </w:r>
      <w:r w:rsidRPr="006D1FE7">
        <w:rPr>
          <w:rFonts w:eastAsia="Calibri"/>
          <w:sz w:val="28"/>
          <w:szCs w:val="28"/>
          <w:lang w:eastAsia="en-US"/>
        </w:rPr>
        <w:t>[12]</w:t>
      </w:r>
      <w:r w:rsidRPr="006D1FE7">
        <w:rPr>
          <w:rFonts w:eastAsia="Calibri"/>
          <w:noProof/>
          <w:sz w:val="28"/>
          <w:szCs w:val="28"/>
          <w:lang w:eastAsia="en-GB"/>
        </w:rPr>
        <w:t xml:space="preserve">. Through the period 1961-2003, it was observed that the global sea level rise was about 1.8 mm/year while during the period 1993-2003 it reached 3.1 mm/year </w:t>
      </w:r>
      <w:r w:rsidRPr="006D1FE7">
        <w:rPr>
          <w:rFonts w:eastAsia="Calibri"/>
          <w:sz w:val="28"/>
          <w:szCs w:val="28"/>
          <w:lang w:eastAsia="en-US"/>
        </w:rPr>
        <w:t>[13]</w:t>
      </w:r>
      <w:r w:rsidRPr="006D1FE7">
        <w:rPr>
          <w:rFonts w:eastAsia="Calibri"/>
          <w:noProof/>
          <w:sz w:val="28"/>
          <w:szCs w:val="28"/>
          <w:lang w:eastAsia="en-GB"/>
        </w:rPr>
        <w:t xml:space="preserve">. (MENA) countries are part of vulnerable countries to the impacts of SLR with different levels. Despite the fact that their coastlines will be under the impact of sea level rise, it will be more noticeable in countries that have deltaic areas, such as Egypt (Nile River delta) and Iraq (Tigris and Euphrates delta) (Fig.7). These two areas are the most vulnerable in (MENA) countries by sea level rise, </w:t>
      </w:r>
      <w:r w:rsidRPr="006D1FE7">
        <w:rPr>
          <w:rFonts w:eastAsia="Calibri"/>
          <w:sz w:val="28"/>
          <w:szCs w:val="28"/>
          <w:lang w:eastAsia="en-US"/>
        </w:rPr>
        <w:t>[14]</w:t>
      </w:r>
      <w:r w:rsidRPr="006D1FE7">
        <w:rPr>
          <w:rFonts w:eastAsia="Calibri"/>
          <w:noProof/>
          <w:sz w:val="28"/>
          <w:szCs w:val="28"/>
          <w:lang w:eastAsia="en-GB"/>
        </w:rPr>
        <w:t>.</w:t>
      </w:r>
    </w:p>
    <w:p w:rsidR="006D1FE7" w:rsidRPr="006D1FE7" w:rsidRDefault="006D1FE7" w:rsidP="006D1FE7">
      <w:pPr>
        <w:widowControl/>
        <w:adjustRightInd/>
        <w:spacing w:line="240" w:lineRule="auto"/>
        <w:ind w:firstLine="1304"/>
        <w:textAlignment w:val="auto"/>
        <w:rPr>
          <w:rFonts w:eastAsia="Calibri"/>
          <w:noProof/>
          <w:sz w:val="28"/>
          <w:szCs w:val="28"/>
          <w:lang w:eastAsia="en-GB"/>
        </w:rPr>
      </w:pPr>
      <w:r w:rsidRPr="006D1FE7">
        <w:rPr>
          <w:rFonts w:eastAsia="Calibri"/>
          <w:noProof/>
          <w:sz w:val="28"/>
          <w:szCs w:val="28"/>
          <w:lang w:eastAsia="en-GB"/>
        </w:rPr>
        <w:t xml:space="preserve">Climate computer modeling further projects sea level rising by over 0.5 meters by the end of the century that would place low-lying coastal areas in the Gulf and Shatt-al-Arab area, and North Africa at particular risk [15]. </w:t>
      </w:r>
    </w:p>
    <w:p w:rsidR="006D1FE7" w:rsidRPr="006D1FE7" w:rsidRDefault="006D1FE7" w:rsidP="006D1FE7">
      <w:pPr>
        <w:widowControl/>
        <w:adjustRightInd/>
        <w:spacing w:line="240" w:lineRule="auto"/>
        <w:ind w:firstLine="1304"/>
        <w:textAlignment w:val="auto"/>
        <w:rPr>
          <w:rFonts w:eastAsia="Calibri"/>
          <w:noProof/>
          <w:sz w:val="28"/>
          <w:szCs w:val="28"/>
          <w:lang w:eastAsia="en-GB"/>
        </w:rPr>
      </w:pPr>
      <w:r w:rsidRPr="006D1FE7">
        <w:rPr>
          <w:rFonts w:eastAsia="Calibri"/>
          <w:noProof/>
          <w:sz w:val="28"/>
          <w:szCs w:val="28"/>
          <w:lang w:eastAsia="en-GB"/>
        </w:rPr>
        <w:t xml:space="preserve">The negative impacts on the water resources of the region, which are already characterized by low and limited amount, are already clear. (Fig.8) shows the situation of water resources of these countries in 2002, [16]. These countries are divided into three categories: the first includes Sudan, Egypt, and Iraq which have annual water resources of </w:t>
      </w:r>
      <w:r w:rsidRPr="006D1FE7">
        <w:rPr>
          <w:rFonts w:eastAsia="Calibri"/>
          <w:noProof/>
          <w:sz w:val="28"/>
          <w:szCs w:val="28"/>
          <w:lang w:eastAsia="en-GB"/>
        </w:rPr>
        <w:lastRenderedPageBreak/>
        <w:t>75, 65, 58, billions m3/year respectively. The second includes Algeria, Lebanon, Mauritania, Morocco, Somalia, Syria, Tunisia and Yemen with total water resources of 5-30 billion m3/year. Total annual ground water resources in MENA region are about 35 billion, [17].</w:t>
      </w:r>
    </w:p>
    <w:p w:rsidR="006D1FE7" w:rsidRPr="006D1FE7" w:rsidRDefault="006D1FE7" w:rsidP="006D1FE7">
      <w:pPr>
        <w:widowControl/>
        <w:adjustRightInd/>
        <w:spacing w:line="240" w:lineRule="auto"/>
        <w:textAlignment w:val="auto"/>
        <w:rPr>
          <w:rFonts w:eastAsia="Calibri"/>
          <w:noProof/>
          <w:sz w:val="28"/>
          <w:szCs w:val="28"/>
          <w:lang w:eastAsia="en-GB"/>
        </w:rPr>
      </w:pPr>
    </w:p>
    <w:p w:rsidR="006D1FE7" w:rsidRPr="006D1FE7" w:rsidRDefault="006D1FE7" w:rsidP="006D1FE7">
      <w:pPr>
        <w:widowControl/>
        <w:adjustRightInd/>
        <w:spacing w:line="240" w:lineRule="auto"/>
        <w:jc w:val="center"/>
        <w:textAlignment w:val="auto"/>
        <w:rPr>
          <w:rFonts w:eastAsia="Calibri"/>
          <w:noProof/>
          <w:sz w:val="28"/>
          <w:szCs w:val="28"/>
          <w:lang w:eastAsia="en-GB"/>
        </w:rPr>
      </w:pPr>
      <w:r w:rsidRPr="006D1FE7">
        <w:rPr>
          <w:rFonts w:eastAsia="Calibri"/>
          <w:noProof/>
          <w:sz w:val="28"/>
          <w:szCs w:val="28"/>
          <w:lang w:eastAsia="en-US"/>
        </w:rPr>
        <w:drawing>
          <wp:inline distT="0" distB="0" distL="0" distR="0" wp14:anchorId="4F3BC144" wp14:editId="427221D9">
            <wp:extent cx="4811207" cy="2466975"/>
            <wp:effectExtent l="38100" t="38100" r="46990" b="28575"/>
            <wp:docPr id="15" name="Picture 1" descr="C:\Users\HP-PC\Downloads\istorical and Future Climatic Change Scenarios for-8-8-p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704534" name="Picture 1" descr="C:\Users\HP-PC\Downloads\istorical and Future Climatic Change Scenarios for-8-8-page-001.jpg"/>
                    <pic:cNvPicPr>
                      <a:picLocks noChangeAspect="1" noChangeArrowheads="1"/>
                    </pic:cNvPicPr>
                  </pic:nvPicPr>
                  <pic:blipFill>
                    <a:blip r:embed="rId14" cstate="print"/>
                    <a:srcRect l="17227" t="29850" r="17059" b="45101"/>
                    <a:stretch>
                      <a:fillRect/>
                    </a:stretch>
                  </pic:blipFill>
                  <pic:spPr bwMode="auto">
                    <a:xfrm>
                      <a:off x="0" y="0"/>
                      <a:ext cx="4843210" cy="2483385"/>
                    </a:xfrm>
                    <a:prstGeom prst="rect">
                      <a:avLst/>
                    </a:prstGeom>
                    <a:noFill/>
                    <a:ln w="28575">
                      <a:solidFill>
                        <a:sysClr val="windowText" lastClr="000000"/>
                      </a:solidFill>
                      <a:miter lim="800000"/>
                      <a:headEnd/>
                      <a:tailEnd/>
                    </a:ln>
                  </pic:spPr>
                </pic:pic>
              </a:graphicData>
            </a:graphic>
          </wp:inline>
        </w:drawing>
      </w:r>
    </w:p>
    <w:p w:rsidR="006D1FE7" w:rsidRPr="006D1FE7" w:rsidRDefault="006D1FE7" w:rsidP="006D1FE7">
      <w:pPr>
        <w:widowControl/>
        <w:autoSpaceDE w:val="0"/>
        <w:autoSpaceDN w:val="0"/>
        <w:spacing w:line="240" w:lineRule="auto"/>
        <w:jc w:val="center"/>
        <w:textAlignment w:val="auto"/>
        <w:rPr>
          <w:rFonts w:eastAsia="Calibri"/>
          <w:noProof/>
          <w:sz w:val="28"/>
          <w:szCs w:val="28"/>
          <w:lang w:eastAsia="en-GB"/>
        </w:rPr>
      </w:pPr>
      <w:r w:rsidRPr="006D1FE7">
        <w:rPr>
          <w:rFonts w:eastAsia="Calibri"/>
          <w:noProof/>
          <w:sz w:val="28"/>
          <w:szCs w:val="28"/>
          <w:lang w:eastAsia="en-GB"/>
        </w:rPr>
        <w:t xml:space="preserve">Fig. 7: The Situation of the sea level rise for Egypt (Nile River delta and Iraq (Tigris and Euphrates delta (Shown in red and yellow colors).                    </w:t>
      </w:r>
    </w:p>
    <w:p w:rsidR="006D1FE7" w:rsidRPr="006D1FE7" w:rsidRDefault="006D1FE7" w:rsidP="006D1FE7">
      <w:pPr>
        <w:widowControl/>
        <w:adjustRightInd/>
        <w:spacing w:line="240" w:lineRule="auto"/>
        <w:jc w:val="center"/>
        <w:textAlignment w:val="auto"/>
        <w:rPr>
          <w:rFonts w:eastAsia="Calibri"/>
          <w:noProof/>
          <w:sz w:val="28"/>
          <w:szCs w:val="28"/>
          <w:lang w:eastAsia="en-GB"/>
        </w:rPr>
      </w:pPr>
      <w:r w:rsidRPr="006D1FE7">
        <w:rPr>
          <w:rFonts w:eastAsia="Calibri"/>
          <w:noProof/>
          <w:sz w:val="28"/>
          <w:szCs w:val="28"/>
          <w:lang w:eastAsia="en-GB"/>
        </w:rPr>
        <w:t xml:space="preserve">  </w:t>
      </w:r>
    </w:p>
    <w:p w:rsidR="006D1FE7" w:rsidRPr="006D1FE7" w:rsidRDefault="006D1FE7" w:rsidP="006D1FE7">
      <w:pPr>
        <w:widowControl/>
        <w:adjustRightInd/>
        <w:spacing w:line="240" w:lineRule="auto"/>
        <w:jc w:val="center"/>
        <w:textAlignment w:val="auto"/>
        <w:rPr>
          <w:rFonts w:eastAsia="Calibri"/>
          <w:noProof/>
          <w:sz w:val="28"/>
          <w:szCs w:val="28"/>
          <w:lang w:eastAsia="en-GB"/>
        </w:rPr>
      </w:pPr>
      <w:r w:rsidRPr="006D1FE7">
        <w:rPr>
          <w:rFonts w:eastAsia="Calibri"/>
          <w:noProof/>
          <w:sz w:val="28"/>
          <w:szCs w:val="28"/>
          <w:rtl/>
          <w:lang w:eastAsia="en-US"/>
        </w:rPr>
        <w:drawing>
          <wp:inline distT="0" distB="0" distL="0" distR="0" wp14:anchorId="2F895AFF" wp14:editId="4374C852">
            <wp:extent cx="4093066" cy="2543175"/>
            <wp:effectExtent l="0" t="0" r="3175" b="0"/>
            <wp:docPr id="10" name="Picture 1" descr="C:\Users\HP-PC\Downloads\istorical and Future Climatic Change Scenarios for-10-10 -p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403842" name="Picture 1" descr="C:\Users\HP-PC\Downloads\istorical and Future Climatic Change Scenarios for-10-10 -page-001.jpg"/>
                    <pic:cNvPicPr>
                      <a:picLocks noChangeAspect="1" noChangeArrowheads="1"/>
                    </pic:cNvPicPr>
                  </pic:nvPicPr>
                  <pic:blipFill>
                    <a:blip r:embed="rId15" cstate="print"/>
                    <a:srcRect l="20560" t="12040" r="20651" b="62100"/>
                    <a:stretch>
                      <a:fillRect/>
                    </a:stretch>
                  </pic:blipFill>
                  <pic:spPr bwMode="auto">
                    <a:xfrm>
                      <a:off x="0" y="0"/>
                      <a:ext cx="4111566" cy="2554670"/>
                    </a:xfrm>
                    <a:prstGeom prst="rect">
                      <a:avLst/>
                    </a:prstGeom>
                    <a:noFill/>
                    <a:ln w="9525">
                      <a:noFill/>
                      <a:miter lim="800000"/>
                      <a:headEnd/>
                      <a:tailEnd/>
                    </a:ln>
                  </pic:spPr>
                </pic:pic>
              </a:graphicData>
            </a:graphic>
          </wp:inline>
        </w:drawing>
      </w:r>
    </w:p>
    <w:p w:rsidR="006D1FE7" w:rsidRPr="006D1FE7" w:rsidRDefault="006D1FE7" w:rsidP="006D1FE7">
      <w:pPr>
        <w:widowControl/>
        <w:autoSpaceDE w:val="0"/>
        <w:autoSpaceDN w:val="0"/>
        <w:spacing w:line="240" w:lineRule="auto"/>
        <w:jc w:val="center"/>
        <w:textAlignment w:val="auto"/>
        <w:rPr>
          <w:rFonts w:eastAsia="Calibri"/>
          <w:noProof/>
          <w:sz w:val="28"/>
          <w:szCs w:val="28"/>
          <w:lang w:eastAsia="en-GB"/>
        </w:rPr>
      </w:pPr>
      <w:r w:rsidRPr="006D1FE7">
        <w:rPr>
          <w:rFonts w:eastAsia="Calibri"/>
          <w:noProof/>
          <w:sz w:val="28"/>
          <w:szCs w:val="28"/>
          <w:lang w:eastAsia="en-GB"/>
        </w:rPr>
        <w:t>Fig.8:  The situation of water resources for MENA countries at the year 2002.</w:t>
      </w:r>
    </w:p>
    <w:p w:rsidR="006D1FE7" w:rsidRPr="006D1FE7" w:rsidRDefault="006D1FE7" w:rsidP="006D1FE7">
      <w:pPr>
        <w:widowControl/>
        <w:autoSpaceDE w:val="0"/>
        <w:autoSpaceDN w:val="0"/>
        <w:spacing w:line="240" w:lineRule="auto"/>
        <w:jc w:val="center"/>
        <w:textAlignment w:val="auto"/>
        <w:rPr>
          <w:rFonts w:eastAsia="Calibri"/>
          <w:noProof/>
          <w:sz w:val="28"/>
          <w:szCs w:val="28"/>
          <w:lang w:eastAsia="en-GB"/>
        </w:rPr>
      </w:pPr>
      <w:r w:rsidRPr="006D1FE7">
        <w:rPr>
          <w:rFonts w:eastAsia="Calibri"/>
          <w:noProof/>
          <w:sz w:val="28"/>
          <w:szCs w:val="28"/>
          <w:lang w:eastAsia="en-GB"/>
        </w:rPr>
        <w:t xml:space="preserve">                                                                                                                              </w:t>
      </w:r>
    </w:p>
    <w:p w:rsidR="006D1FE7" w:rsidRPr="006D1FE7" w:rsidRDefault="006D1FE7" w:rsidP="006D1FE7">
      <w:pPr>
        <w:widowControl/>
        <w:adjustRightInd/>
        <w:spacing w:line="240" w:lineRule="auto"/>
        <w:ind w:firstLine="1304"/>
        <w:textAlignment w:val="auto"/>
        <w:rPr>
          <w:rFonts w:eastAsia="Calibri"/>
          <w:noProof/>
          <w:sz w:val="28"/>
          <w:szCs w:val="28"/>
          <w:lang w:eastAsia="en-GB"/>
        </w:rPr>
      </w:pPr>
      <w:r w:rsidRPr="006D1FE7">
        <w:rPr>
          <w:rFonts w:eastAsia="Calibri"/>
          <w:noProof/>
          <w:sz w:val="28"/>
          <w:szCs w:val="28"/>
          <w:lang w:eastAsia="en-GB"/>
        </w:rPr>
        <w:lastRenderedPageBreak/>
        <w:t xml:space="preserve">Future projections of FAO indicate the considerable reduction in water resources as a result of drought and population growth. During the last 30 years, drought frequency increased in Morocco, Tunisia, Algeria, and Syria. The record droughts in Jordan and Syria were the worst ever recorded in recent decades </w:t>
      </w:r>
      <w:r w:rsidRPr="006D1FE7">
        <w:rPr>
          <w:rFonts w:eastAsia="Calibri"/>
          <w:sz w:val="28"/>
          <w:szCs w:val="28"/>
          <w:lang w:eastAsia="en-US"/>
        </w:rPr>
        <w:t>[16]</w:t>
      </w:r>
      <w:r w:rsidRPr="006D1FE7">
        <w:rPr>
          <w:rFonts w:eastAsia="Calibri"/>
          <w:noProof/>
          <w:sz w:val="28"/>
          <w:szCs w:val="28"/>
          <w:lang w:eastAsia="en-GB"/>
        </w:rPr>
        <w:t xml:space="preserve">. Freshwater systems will be subject to many negative impacts due to climate change: represented by increased temperatures, evaporation, and increased evapotranspiration.Current studies project that by the 21st century, the flow of rivers located in the Middle East will be decreased considerably. The magnitudes of these reductions, however, are highly uncertain, </w:t>
      </w:r>
      <w:r w:rsidRPr="006D1FE7">
        <w:rPr>
          <w:rFonts w:eastAsia="Calibri"/>
          <w:sz w:val="28"/>
          <w:szCs w:val="28"/>
          <w:lang w:eastAsia="en-US"/>
        </w:rPr>
        <w:t>[18]</w:t>
      </w:r>
      <w:r w:rsidRPr="006D1FE7">
        <w:rPr>
          <w:rFonts w:eastAsia="Calibri"/>
          <w:noProof/>
          <w:sz w:val="28"/>
          <w:szCs w:val="28"/>
          <w:lang w:eastAsia="en-GB"/>
        </w:rPr>
        <w:t>.</w:t>
      </w:r>
    </w:p>
    <w:p w:rsidR="006D1FE7" w:rsidRPr="006D1FE7" w:rsidRDefault="006D1FE7" w:rsidP="006D1FE7">
      <w:pPr>
        <w:widowControl/>
        <w:adjustRightInd/>
        <w:spacing w:line="240" w:lineRule="auto"/>
        <w:ind w:firstLine="1304"/>
        <w:textAlignment w:val="auto"/>
        <w:rPr>
          <w:rFonts w:eastAsia="Calibri"/>
          <w:noProof/>
          <w:sz w:val="28"/>
          <w:szCs w:val="28"/>
          <w:lang w:eastAsia="en-GB"/>
        </w:rPr>
      </w:pPr>
      <w:r w:rsidRPr="006D1FE7">
        <w:rPr>
          <w:rFonts w:eastAsia="Calibri"/>
          <w:noProof/>
          <w:sz w:val="28"/>
          <w:szCs w:val="28"/>
          <w:lang w:eastAsia="en-GB"/>
        </w:rPr>
        <w:t xml:space="preserve">One noticeable impact of climate change in the region is the increased frequency and intensity of dust storms. The Arab Forum for Environment and Development </w:t>
      </w:r>
      <w:r w:rsidRPr="006D1FE7">
        <w:rPr>
          <w:rFonts w:eastAsia="Calibri"/>
          <w:sz w:val="28"/>
          <w:szCs w:val="28"/>
          <w:lang w:eastAsia="en-US"/>
        </w:rPr>
        <w:t>[19]</w:t>
      </w:r>
      <w:r w:rsidRPr="006D1FE7">
        <w:rPr>
          <w:rFonts w:eastAsia="Calibri"/>
          <w:noProof/>
          <w:sz w:val="28"/>
          <w:szCs w:val="28"/>
          <w:lang w:eastAsia="en-GB"/>
        </w:rPr>
        <w:t xml:space="preserve"> reported, that due to the continuous emission in the atmosphere from unregulated industrial emissions, many desert regions will get hotter and drier in a phenomenon called the amplification effect  that is:  already hot and dry places on Earth will become even more so. Consequently, dust storms in the area will become more frequent and intense.</w:t>
      </w:r>
    </w:p>
    <w:p w:rsidR="006D1FE7" w:rsidRPr="006D1FE7" w:rsidRDefault="006D1FE7" w:rsidP="006D1FE7">
      <w:pPr>
        <w:widowControl/>
        <w:adjustRightInd/>
        <w:spacing w:line="240" w:lineRule="auto"/>
        <w:ind w:firstLine="1304"/>
        <w:textAlignment w:val="auto"/>
        <w:rPr>
          <w:rFonts w:eastAsia="Calibri"/>
          <w:noProof/>
          <w:sz w:val="28"/>
          <w:szCs w:val="28"/>
          <w:lang w:eastAsia="en-GB"/>
        </w:rPr>
      </w:pPr>
      <w:r w:rsidRPr="006D1FE7">
        <w:rPr>
          <w:rFonts w:eastAsia="Calibri"/>
          <w:noProof/>
          <w:sz w:val="28"/>
          <w:szCs w:val="28"/>
          <w:lang w:eastAsia="en-GB"/>
        </w:rPr>
        <w:t xml:space="preserve">The overall picture is not a bright one especially when one thinks of the drastic impacts on human societies and possible conflicts between the countries of the region and the resulting instability. According to the world Bank, an additional 80 to 100 million people in the Middle East and North African Countries (MENA) will be exposed to water stress by 2025 putting more pressure on the already depleted groundwater resources. </w:t>
      </w:r>
    </w:p>
    <w:p w:rsidR="006D1FE7" w:rsidRPr="006D1FE7" w:rsidRDefault="006D1FE7" w:rsidP="006D1FE7">
      <w:pPr>
        <w:widowControl/>
        <w:adjustRightInd/>
        <w:spacing w:line="240" w:lineRule="auto"/>
        <w:ind w:firstLine="1304"/>
        <w:textAlignment w:val="auto"/>
        <w:rPr>
          <w:rFonts w:eastAsia="Calibri"/>
          <w:noProof/>
          <w:sz w:val="28"/>
          <w:szCs w:val="28"/>
          <w:lang w:eastAsia="en-GB"/>
        </w:rPr>
      </w:pPr>
      <w:r w:rsidRPr="006D1FE7">
        <w:rPr>
          <w:rFonts w:eastAsia="Calibri"/>
          <w:noProof/>
          <w:sz w:val="28"/>
          <w:szCs w:val="28"/>
          <w:lang w:eastAsia="en-GB"/>
        </w:rPr>
        <w:t xml:space="preserve">Based on (IPCC) predictions and hydrologic modeling, researchers predict that strong changes are projected across the (MENA) countries in increased temperature combined with the substantial decrease in precipitation which will lead to higher evapotranspiration (ET) and will severely stress water resources in the region. A study was done by </w:t>
      </w:r>
      <w:r w:rsidRPr="006D1FE7">
        <w:rPr>
          <w:rFonts w:eastAsia="Calibri"/>
          <w:sz w:val="28"/>
          <w:szCs w:val="28"/>
          <w:lang w:eastAsia="en-US"/>
        </w:rPr>
        <w:t>[20]</w:t>
      </w:r>
      <w:r w:rsidRPr="006D1FE7">
        <w:rPr>
          <w:rFonts w:eastAsia="Calibri"/>
          <w:noProof/>
          <w:sz w:val="28"/>
          <w:szCs w:val="28"/>
          <w:lang w:eastAsia="en-GB"/>
        </w:rPr>
        <w:t xml:space="preserve"> used the (IPCC) greenhouse gas emission scenario A1, A2, B1, and B3 of the greenhouse gas emission (GHG) scenarios and nine General Circulation Models (GCMs) with statistical downscaling to predict expected future changes up to 2050. The database used was for annual precipitation for 2000-2009, shown in (Fig.9). The required annual evapotranspiration data necessary for </w:t>
      </w:r>
      <w:r w:rsidRPr="006D1FE7">
        <w:rPr>
          <w:rFonts w:eastAsia="Calibri"/>
          <w:noProof/>
          <w:sz w:val="28"/>
          <w:szCs w:val="28"/>
          <w:lang w:eastAsia="en-GB"/>
        </w:rPr>
        <w:lastRenderedPageBreak/>
        <w:t xml:space="preserve">the modeling was then calculated from this precipitation and from annual temperature records for the same period as presented in (Fig 10). </w:t>
      </w:r>
    </w:p>
    <w:p w:rsidR="006D1FE7" w:rsidRPr="006D1FE7" w:rsidRDefault="006D1FE7" w:rsidP="006D1FE7">
      <w:pPr>
        <w:widowControl/>
        <w:adjustRightInd/>
        <w:spacing w:line="240" w:lineRule="auto"/>
        <w:ind w:firstLine="1304"/>
        <w:textAlignment w:val="auto"/>
        <w:rPr>
          <w:rFonts w:eastAsia="Calibri"/>
          <w:noProof/>
          <w:sz w:val="28"/>
          <w:szCs w:val="28"/>
          <w:lang w:eastAsia="en-GB"/>
        </w:rPr>
      </w:pPr>
      <w:r w:rsidRPr="006D1FE7">
        <w:rPr>
          <w:rFonts w:eastAsia="Calibri"/>
          <w:noProof/>
          <w:sz w:val="28"/>
          <w:szCs w:val="28"/>
          <w:lang w:eastAsia="en-GB"/>
        </w:rPr>
        <w:t>The projections of both precipitation and evapotranspiration over two future periods: F1= 2020-2030 and F2=2040-2050 were obtained and the results of projected precipitation for all (MENA) countries are shown in (Fig 11).</w:t>
      </w:r>
    </w:p>
    <w:p w:rsidR="006D1FE7" w:rsidRPr="006D1FE7" w:rsidRDefault="006D1FE7" w:rsidP="006D1FE7">
      <w:pPr>
        <w:widowControl/>
        <w:adjustRightInd/>
        <w:spacing w:line="240" w:lineRule="auto"/>
        <w:jc w:val="center"/>
        <w:textAlignment w:val="auto"/>
        <w:rPr>
          <w:rFonts w:eastAsia="Calibri"/>
          <w:noProof/>
          <w:sz w:val="28"/>
          <w:szCs w:val="28"/>
          <w:lang w:eastAsia="en-GB"/>
        </w:rPr>
      </w:pPr>
      <w:r w:rsidRPr="006D1FE7">
        <w:rPr>
          <w:rFonts w:eastAsia="Calibri"/>
          <w:noProof/>
          <w:sz w:val="28"/>
          <w:szCs w:val="28"/>
          <w:rtl/>
          <w:lang w:eastAsia="en-US"/>
        </w:rPr>
        <w:drawing>
          <wp:inline distT="0" distB="0" distL="0" distR="0" wp14:anchorId="7235C9E7" wp14:editId="148F9423">
            <wp:extent cx="5073067" cy="2581275"/>
            <wp:effectExtent l="38100" t="38100" r="32385" b="28575"/>
            <wp:docPr id="11" name="Picture 1" descr="C:\Users\HP-PC\Documents\Tigris and Euphrates Book\كتاب دجله والفرات\Climate change projections of precipitation and reference-6-6-p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258750" name="Picture 1" descr="C:\Users\HP-PC\Documents\Tigris and Euphrates Book\كتاب دجله والفرات\Climate change projections of precipitation and reference-6-6-page-001.jpg"/>
                    <pic:cNvPicPr>
                      <a:picLocks noChangeAspect="1" noChangeArrowheads="1"/>
                    </pic:cNvPicPr>
                  </pic:nvPicPr>
                  <pic:blipFill>
                    <a:blip r:embed="rId16" cstate="print"/>
                    <a:srcRect l="16056" t="7715" r="18329" b="69118"/>
                    <a:stretch>
                      <a:fillRect/>
                    </a:stretch>
                  </pic:blipFill>
                  <pic:spPr bwMode="auto">
                    <a:xfrm>
                      <a:off x="0" y="0"/>
                      <a:ext cx="5120986" cy="2605657"/>
                    </a:xfrm>
                    <a:prstGeom prst="rect">
                      <a:avLst/>
                    </a:prstGeom>
                    <a:noFill/>
                    <a:ln w="28575">
                      <a:solidFill>
                        <a:sysClr val="windowText" lastClr="000000"/>
                      </a:solidFill>
                      <a:miter lim="800000"/>
                      <a:headEnd/>
                      <a:tailEnd/>
                    </a:ln>
                  </pic:spPr>
                </pic:pic>
              </a:graphicData>
            </a:graphic>
          </wp:inline>
        </w:drawing>
      </w:r>
    </w:p>
    <w:p w:rsidR="006D1FE7" w:rsidRPr="006D1FE7" w:rsidRDefault="006D1FE7" w:rsidP="001C790A">
      <w:pPr>
        <w:widowControl/>
        <w:bidi/>
        <w:adjustRightInd/>
        <w:spacing w:line="240" w:lineRule="auto"/>
        <w:jc w:val="center"/>
        <w:textAlignment w:val="auto"/>
        <w:rPr>
          <w:rFonts w:eastAsia="Calibri"/>
          <w:i/>
          <w:iCs/>
          <w:noProof/>
          <w:sz w:val="22"/>
          <w:szCs w:val="22"/>
          <w:lang w:val="en-GB" w:eastAsia="en-GB"/>
        </w:rPr>
      </w:pPr>
      <w:r w:rsidRPr="006D1FE7">
        <w:rPr>
          <w:rFonts w:eastAsia="Calibri"/>
          <w:i/>
          <w:iCs/>
          <w:noProof/>
          <w:sz w:val="22"/>
          <w:szCs w:val="22"/>
          <w:lang w:val="en-GB" w:eastAsia="en-GB"/>
        </w:rPr>
        <w:t>F</w:t>
      </w:r>
      <w:r w:rsidRPr="006D1FE7">
        <w:rPr>
          <w:rFonts w:eastAsia="Calibri"/>
          <w:noProof/>
          <w:sz w:val="28"/>
          <w:szCs w:val="28"/>
          <w:lang w:eastAsia="en-GB"/>
        </w:rPr>
        <w:t xml:space="preserve">ig 9: Annual precipitation over MENA countries (2000-2009). (After </w:t>
      </w:r>
      <w:r w:rsidR="001C790A">
        <w:rPr>
          <w:rFonts w:eastAsia="Calibri"/>
          <w:noProof/>
          <w:sz w:val="28"/>
          <w:szCs w:val="28"/>
          <w:lang w:eastAsia="en-GB"/>
        </w:rPr>
        <w:t>[20]</w:t>
      </w:r>
    </w:p>
    <w:p w:rsidR="006D1FE7" w:rsidRPr="006D1FE7" w:rsidRDefault="006D1FE7" w:rsidP="006D1FE7">
      <w:pPr>
        <w:widowControl/>
        <w:adjustRightInd/>
        <w:spacing w:line="240" w:lineRule="auto"/>
        <w:ind w:firstLine="1304"/>
        <w:textAlignment w:val="auto"/>
        <w:rPr>
          <w:rFonts w:eastAsia="Calibri"/>
          <w:noProof/>
          <w:sz w:val="28"/>
          <w:szCs w:val="28"/>
          <w:lang w:eastAsia="en-GB"/>
        </w:rPr>
      </w:pPr>
      <w:r w:rsidRPr="006D1FE7">
        <w:rPr>
          <w:rFonts w:eastAsia="Calibri"/>
          <w:noProof/>
          <w:sz w:val="28"/>
          <w:szCs w:val="28"/>
          <w:lang w:eastAsia="en-GB"/>
        </w:rPr>
        <w:t>The final findings show that all the (MENA) countries except Yemen and Djibouti will suffer from decreasing precipitation at various degrees with a marked decrease in the F2 period over those in F1 period indicating a continues increasing trend. The highest decrease in precipitation is expected to occur in Lebanon amounting to 30 mm (6%) in the period F1 and 38mm (7%) in the period F2. Followed by Iran, Iraq, Syria, Jordan and, Egypt.</w:t>
      </w:r>
    </w:p>
    <w:p w:rsidR="006D1FE7" w:rsidRPr="006D1FE7" w:rsidRDefault="006D1FE7" w:rsidP="006D1FE7">
      <w:pPr>
        <w:widowControl/>
        <w:adjustRightInd/>
        <w:spacing w:line="240" w:lineRule="auto"/>
        <w:ind w:firstLine="1304"/>
        <w:textAlignment w:val="auto"/>
        <w:rPr>
          <w:rFonts w:eastAsia="Calibri"/>
          <w:noProof/>
          <w:sz w:val="28"/>
          <w:szCs w:val="28"/>
          <w:lang w:eastAsia="en-GB"/>
        </w:rPr>
      </w:pPr>
      <w:r w:rsidRPr="006D1FE7">
        <w:rPr>
          <w:rFonts w:eastAsia="Calibri"/>
          <w:noProof/>
          <w:sz w:val="28"/>
          <w:szCs w:val="28"/>
          <w:lang w:eastAsia="en-GB"/>
        </w:rPr>
        <w:t>The evapotranspiration results show an overall increase in average annual values for both F1 and F2 periods, with the largest increases found for F2, meaning that water stress will become an even more severe problem in these countries.</w:t>
      </w:r>
      <w:r w:rsidRPr="006D1FE7">
        <w:rPr>
          <w:rFonts w:eastAsia="Calibri"/>
          <w:sz w:val="22"/>
          <w:szCs w:val="22"/>
          <w:lang w:eastAsia="en-US"/>
        </w:rPr>
        <w:t xml:space="preserve"> </w:t>
      </w:r>
      <w:r w:rsidRPr="006D1FE7">
        <w:rPr>
          <w:rFonts w:eastAsia="Calibri"/>
          <w:noProof/>
          <w:sz w:val="28"/>
          <w:szCs w:val="28"/>
          <w:lang w:eastAsia="en-GB"/>
        </w:rPr>
        <w:t>The evapotranspiration results show an overall increase in average annual values for both F1 and F2 periods, with the largest increases found for F2, meaning that water stress will become an even more severe problem in these countries.</w:t>
      </w:r>
    </w:p>
    <w:p w:rsidR="006D1FE7" w:rsidRPr="006D1FE7" w:rsidRDefault="006D1FE7" w:rsidP="006D1FE7">
      <w:pPr>
        <w:widowControl/>
        <w:adjustRightInd/>
        <w:spacing w:line="240" w:lineRule="auto"/>
        <w:jc w:val="center"/>
        <w:textAlignment w:val="auto"/>
        <w:rPr>
          <w:rFonts w:eastAsia="Calibri"/>
          <w:noProof/>
          <w:sz w:val="28"/>
          <w:szCs w:val="28"/>
          <w:lang w:eastAsia="en-GB"/>
        </w:rPr>
      </w:pPr>
      <w:r w:rsidRPr="006D1FE7">
        <w:rPr>
          <w:rFonts w:eastAsia="Calibri"/>
          <w:noProof/>
          <w:sz w:val="28"/>
          <w:szCs w:val="28"/>
          <w:rtl/>
          <w:lang w:eastAsia="en-US"/>
        </w:rPr>
        <w:lastRenderedPageBreak/>
        <w:drawing>
          <wp:inline distT="0" distB="0" distL="0" distR="0" wp14:anchorId="6332C7DF" wp14:editId="2E2AA8F4">
            <wp:extent cx="5080736" cy="2524125"/>
            <wp:effectExtent l="38100" t="38100" r="43815" b="28575"/>
            <wp:docPr id="12" name="Picture 2" descr="C:\Users\HP-PC\Documents\Tigris and Euphrates Book\كتاب دجله والفرات\Climate change projections of precipitation and reference-8-8-p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992844" name="Picture 2" descr="C:\Users\HP-PC\Documents\Tigris and Euphrates Book\كتاب دجله والفرات\Climate change projections of precipitation and reference-8-8-page-001.jpg"/>
                    <pic:cNvPicPr>
                      <a:picLocks noChangeAspect="1" noChangeArrowheads="1"/>
                    </pic:cNvPicPr>
                  </pic:nvPicPr>
                  <pic:blipFill>
                    <a:blip r:embed="rId17" cstate="print"/>
                    <a:srcRect l="19154" t="7887" r="18812" b="70255"/>
                    <a:stretch>
                      <a:fillRect/>
                    </a:stretch>
                  </pic:blipFill>
                  <pic:spPr bwMode="auto">
                    <a:xfrm>
                      <a:off x="0" y="0"/>
                      <a:ext cx="5118863" cy="2543066"/>
                    </a:xfrm>
                    <a:prstGeom prst="rect">
                      <a:avLst/>
                    </a:prstGeom>
                    <a:noFill/>
                    <a:ln w="28575">
                      <a:solidFill>
                        <a:sysClr val="windowText" lastClr="000000"/>
                      </a:solidFill>
                      <a:miter lim="800000"/>
                      <a:headEnd/>
                      <a:tailEnd/>
                    </a:ln>
                  </pic:spPr>
                </pic:pic>
              </a:graphicData>
            </a:graphic>
          </wp:inline>
        </w:drawing>
      </w:r>
    </w:p>
    <w:p w:rsidR="006D1FE7" w:rsidRPr="006D1FE7" w:rsidRDefault="006D1FE7" w:rsidP="006D1FE7">
      <w:pPr>
        <w:widowControl/>
        <w:bidi/>
        <w:adjustRightInd/>
        <w:spacing w:line="240" w:lineRule="auto"/>
        <w:jc w:val="center"/>
        <w:textAlignment w:val="auto"/>
        <w:rPr>
          <w:rFonts w:eastAsia="Calibri"/>
          <w:szCs w:val="24"/>
          <w:lang w:eastAsia="en-US"/>
        </w:rPr>
      </w:pPr>
      <w:r w:rsidRPr="001C790A">
        <w:rPr>
          <w:rFonts w:eastAsia="Calibri"/>
          <w:noProof/>
          <w:sz w:val="28"/>
          <w:szCs w:val="28"/>
          <w:lang w:eastAsia="en-GB"/>
        </w:rPr>
        <w:t>Fig.10: Calculated evapotranspiration values over MENA countries (2000-2009) (After,</w:t>
      </w:r>
      <w:r w:rsidRPr="006D1FE7">
        <w:rPr>
          <w:rFonts w:eastAsia="Calibri"/>
          <w:noProof/>
          <w:sz w:val="28"/>
          <w:szCs w:val="28"/>
          <w:lang w:eastAsia="en-GB"/>
        </w:rPr>
        <w:t xml:space="preserve"> [20]</w:t>
      </w:r>
      <w:r w:rsidRPr="001C790A">
        <w:rPr>
          <w:rFonts w:eastAsia="Calibri"/>
          <w:noProof/>
          <w:sz w:val="28"/>
          <w:szCs w:val="28"/>
          <w:lang w:eastAsia="en-GB"/>
        </w:rPr>
        <w:t>)</w:t>
      </w:r>
      <w:r w:rsidRPr="006D1FE7">
        <w:rPr>
          <w:rFonts w:eastAsia="Calibri"/>
          <w:i/>
          <w:iCs/>
          <w:noProof/>
          <w:sz w:val="22"/>
          <w:szCs w:val="22"/>
          <w:lang w:val="en-GB" w:eastAsia="en-GB"/>
        </w:rPr>
        <w:t>.</w:t>
      </w:r>
    </w:p>
    <w:p w:rsidR="006D1FE7" w:rsidRPr="006D1FE7" w:rsidRDefault="006D1FE7" w:rsidP="006D1FE7">
      <w:pPr>
        <w:widowControl/>
        <w:adjustRightInd/>
        <w:spacing w:line="240" w:lineRule="auto"/>
        <w:ind w:firstLine="1304"/>
        <w:textAlignment w:val="auto"/>
        <w:rPr>
          <w:rFonts w:eastAsia="Calibri"/>
          <w:noProof/>
          <w:sz w:val="28"/>
          <w:szCs w:val="28"/>
          <w:lang w:eastAsia="en-GB"/>
        </w:rPr>
      </w:pPr>
      <w:r w:rsidRPr="006D1FE7">
        <w:rPr>
          <w:rFonts w:eastAsia="Calibri"/>
          <w:noProof/>
          <w:sz w:val="28"/>
          <w:szCs w:val="28"/>
          <w:lang w:eastAsia="en-GB"/>
        </w:rPr>
        <w:t>In all the climatic changes and their consequences, those expected in the South Eastern Anatolia Region which forms the southern part of Turkey cannot be overlooked in any study on the impacts on the Euphrates and Tigris River water resources, as this area contributes to the largest part of these resources.</w:t>
      </w:r>
    </w:p>
    <w:p w:rsidR="006D1FE7" w:rsidRPr="006D1FE7" w:rsidRDefault="006D1FE7" w:rsidP="006D1FE7">
      <w:pPr>
        <w:widowControl/>
        <w:adjustRightInd/>
        <w:spacing w:line="240" w:lineRule="auto"/>
        <w:ind w:firstLine="1304"/>
        <w:textAlignment w:val="auto"/>
        <w:rPr>
          <w:rFonts w:eastAsia="Calibri"/>
          <w:noProof/>
          <w:sz w:val="28"/>
          <w:szCs w:val="28"/>
          <w:lang w:eastAsia="en-GB"/>
        </w:rPr>
      </w:pPr>
      <w:r w:rsidRPr="006D1FE7">
        <w:rPr>
          <w:rFonts w:eastAsia="Calibri"/>
          <w:noProof/>
          <w:sz w:val="28"/>
          <w:szCs w:val="28"/>
          <w:lang w:eastAsia="en-GB"/>
        </w:rPr>
        <w:t xml:space="preserve">The geographical location of Turkey and its much-varied land surface topography divide it into many climatic sub-zones. The southeastern Anatolia region forms what is called the Eastern Mediterranean and the Middle East (EMME) sub-zone, which is adjacent to Syria and Iraq and, it contributed heavily to their national water resources. Long-term analyses of meteorological database (period 1901-2006) along with regional climate change model projections for the 21st century (Special Report on Emission Scenario AIB) (Lelievld et al. 2012), the results suggest a continual gradual and strong warming of the area of about 1-3ºC in the near future (2010-2039) to 3-5ºC in the mid-century period (2040-2069) and, 3.5-7ºC by the end of the century (2070-2099). According to the same scenario but for the annual precipitation database for the same period (1901-2006), projections showed a sharp decline of annual precipitation of 5-30% in (2040-2069) and 5-30% in (2070-2099) relative to the reference base period (1961-1990). The decrease will be particularly larger (&gt;15%) in Cyprus, Greece, Israel, Jordan, Lebanon the Palestine territories and Syria. As a result of precipitation decrease and also due to population growth rates, </w:t>
      </w:r>
      <w:r w:rsidRPr="006D1FE7">
        <w:rPr>
          <w:rFonts w:eastAsia="Calibri"/>
          <w:noProof/>
          <w:sz w:val="28"/>
          <w:szCs w:val="28"/>
          <w:lang w:eastAsia="en-GB"/>
        </w:rPr>
        <w:lastRenderedPageBreak/>
        <w:t xml:space="preserve">the per capita available internal water resources may decline strongly, for example by 50% or more by mid-century in Cyprus </w:t>
      </w:r>
      <w:r w:rsidRPr="006D1FE7">
        <w:rPr>
          <w:rFonts w:eastAsia="Calibri"/>
          <w:sz w:val="28"/>
          <w:szCs w:val="28"/>
          <w:lang w:eastAsia="en-US"/>
        </w:rPr>
        <w:t>[21]</w:t>
      </w:r>
      <w:r w:rsidRPr="006D1FE7">
        <w:rPr>
          <w:rFonts w:eastAsia="Calibri"/>
          <w:noProof/>
          <w:sz w:val="28"/>
          <w:szCs w:val="28"/>
          <w:lang w:eastAsia="en-GB"/>
        </w:rPr>
        <w:t xml:space="preserve">. In the Balkans, Turkey, Cyprus. Lebanon and Israel, the number of rainy days may decrease e.g. by 5-15 days at mid- century and by 10-20 days per year at the end-of- century </w:t>
      </w:r>
      <w:r w:rsidRPr="006D1FE7">
        <w:rPr>
          <w:rFonts w:eastAsia="Calibri"/>
          <w:sz w:val="28"/>
          <w:szCs w:val="28"/>
          <w:lang w:eastAsia="en-US"/>
        </w:rPr>
        <w:t>[22]</w:t>
      </w:r>
      <w:r w:rsidRPr="006D1FE7">
        <w:rPr>
          <w:rFonts w:eastAsia="Calibri"/>
          <w:noProof/>
          <w:sz w:val="28"/>
          <w:szCs w:val="28"/>
          <w:lang w:eastAsia="en-GB"/>
        </w:rPr>
        <w:t>. This appears to be the continuation of a trend in Greece since about 1960. The intensity of precipitation amount of (rain-per-day) is expected to decrease except over the northern Balkans and the Caucuses.</w:t>
      </w:r>
    </w:p>
    <w:p w:rsidR="006D1FE7" w:rsidRPr="006D1FE7" w:rsidRDefault="006D1FE7" w:rsidP="006D1FE7">
      <w:pPr>
        <w:widowControl/>
        <w:adjustRightInd/>
        <w:spacing w:line="240" w:lineRule="auto"/>
        <w:textAlignment w:val="auto"/>
        <w:rPr>
          <w:rFonts w:eastAsia="Calibri"/>
          <w:noProof/>
          <w:sz w:val="28"/>
          <w:szCs w:val="28"/>
          <w:lang w:eastAsia="en-GB"/>
        </w:rPr>
      </w:pPr>
    </w:p>
    <w:p w:rsidR="006D1FE7" w:rsidRPr="006D1FE7" w:rsidRDefault="006D1FE7" w:rsidP="006D1FE7">
      <w:pPr>
        <w:widowControl/>
        <w:adjustRightInd/>
        <w:spacing w:line="240" w:lineRule="auto"/>
        <w:jc w:val="center"/>
        <w:textAlignment w:val="auto"/>
        <w:rPr>
          <w:rFonts w:eastAsia="Calibri"/>
          <w:noProof/>
          <w:sz w:val="28"/>
          <w:szCs w:val="28"/>
          <w:lang w:eastAsia="en-GB"/>
        </w:rPr>
      </w:pPr>
      <w:r w:rsidRPr="006D1FE7">
        <w:rPr>
          <w:rFonts w:eastAsia="Calibri"/>
          <w:noProof/>
          <w:sz w:val="28"/>
          <w:szCs w:val="28"/>
          <w:rtl/>
          <w:lang w:eastAsia="en-US"/>
        </w:rPr>
        <w:drawing>
          <wp:inline distT="0" distB="0" distL="0" distR="0" wp14:anchorId="35A0648B" wp14:editId="653E0268">
            <wp:extent cx="3597999" cy="5000625"/>
            <wp:effectExtent l="38100" t="38100" r="40640" b="28575"/>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049928" name="Picture 1"/>
                    <pic:cNvPicPr>
                      <a:picLocks noChangeAspect="1" noChangeArrowheads="1"/>
                    </pic:cNvPicPr>
                  </pic:nvPicPr>
                  <pic:blipFill>
                    <a:blip r:embed="rId18" cstate="print"/>
                    <a:stretch>
                      <a:fillRect/>
                    </a:stretch>
                  </pic:blipFill>
                  <pic:spPr bwMode="auto">
                    <a:xfrm>
                      <a:off x="0" y="0"/>
                      <a:ext cx="3607792" cy="5014236"/>
                    </a:xfrm>
                    <a:prstGeom prst="rect">
                      <a:avLst/>
                    </a:prstGeom>
                    <a:noFill/>
                    <a:ln w="28575">
                      <a:solidFill>
                        <a:sysClr val="windowText" lastClr="000000"/>
                      </a:solidFill>
                      <a:miter lim="800000"/>
                      <a:headEnd/>
                      <a:tailEnd/>
                    </a:ln>
                  </pic:spPr>
                </pic:pic>
              </a:graphicData>
            </a:graphic>
          </wp:inline>
        </w:drawing>
      </w:r>
    </w:p>
    <w:p w:rsidR="006D1FE7" w:rsidRPr="001C790A" w:rsidRDefault="006D1FE7" w:rsidP="006D1FE7">
      <w:pPr>
        <w:widowControl/>
        <w:adjustRightInd/>
        <w:spacing w:line="240" w:lineRule="auto"/>
        <w:jc w:val="center"/>
        <w:textAlignment w:val="auto"/>
        <w:rPr>
          <w:rFonts w:eastAsia="Calibri"/>
          <w:noProof/>
          <w:sz w:val="28"/>
          <w:szCs w:val="28"/>
          <w:lang w:eastAsia="en-GB"/>
        </w:rPr>
      </w:pPr>
      <w:r w:rsidRPr="001C790A">
        <w:rPr>
          <w:rFonts w:eastAsia="Calibri"/>
          <w:noProof/>
          <w:sz w:val="28"/>
          <w:szCs w:val="28"/>
          <w:lang w:eastAsia="en-GB"/>
        </w:rPr>
        <w:t xml:space="preserve">Fig. 11: Spatial patterns of precipitation projections. Top: Average annual precipitation sum of the current climate. Middle: Precipitation Anomalies of 2020–2030 with respect to the current climate. Bottom: </w:t>
      </w:r>
      <w:r w:rsidRPr="001C790A">
        <w:rPr>
          <w:rFonts w:eastAsia="Calibri"/>
          <w:noProof/>
          <w:sz w:val="28"/>
          <w:szCs w:val="28"/>
          <w:lang w:eastAsia="en-GB"/>
        </w:rPr>
        <w:lastRenderedPageBreak/>
        <w:t xml:space="preserve">Precipitation anomalies of 2040–2050 with respect to the current climate (After, </w:t>
      </w:r>
      <w:r w:rsidRPr="006D1FE7">
        <w:rPr>
          <w:rFonts w:eastAsia="Calibri"/>
          <w:noProof/>
          <w:sz w:val="28"/>
          <w:szCs w:val="28"/>
          <w:lang w:eastAsia="en-GB"/>
        </w:rPr>
        <w:t>[20]</w:t>
      </w:r>
      <w:r w:rsidRPr="001C790A">
        <w:rPr>
          <w:rFonts w:eastAsia="Calibri"/>
          <w:noProof/>
          <w:sz w:val="28"/>
          <w:szCs w:val="28"/>
          <w:lang w:eastAsia="en-GB"/>
        </w:rPr>
        <w:t>).</w:t>
      </w:r>
    </w:p>
    <w:p w:rsidR="006D1FE7" w:rsidRPr="006D1FE7" w:rsidRDefault="006D1FE7" w:rsidP="006D1FE7">
      <w:pPr>
        <w:widowControl/>
        <w:adjustRightInd/>
        <w:spacing w:line="240" w:lineRule="auto"/>
        <w:ind w:firstLine="1304"/>
        <w:textAlignment w:val="auto"/>
        <w:rPr>
          <w:rFonts w:eastAsia="Calibri"/>
          <w:noProof/>
          <w:sz w:val="28"/>
          <w:szCs w:val="28"/>
          <w:lang w:eastAsia="en-GB"/>
        </w:rPr>
      </w:pPr>
      <w:r w:rsidRPr="006D1FE7">
        <w:rPr>
          <w:rFonts w:eastAsia="Calibri"/>
          <w:noProof/>
          <w:sz w:val="28"/>
          <w:szCs w:val="28"/>
          <w:lang w:eastAsia="en-GB"/>
        </w:rPr>
        <w:t xml:space="preserve">In another study which employed an innovative super-high-resolution atmospheric global climate model, that accurately reproduced the precipitation and the stream-flow of the present day “Fertile Crescent” to project the current trends in climate changes on the Middle East water resources till the end of the century, the results showed severe reductions of the annual discharges of the rivers in the region. The Euphrates River annual flow as one case might suffer a reduction of (29%-73%), as well as the stream flow of the Jordan River </w:t>
      </w:r>
      <w:r w:rsidRPr="006D1FE7">
        <w:rPr>
          <w:rFonts w:eastAsia="Calibri"/>
          <w:sz w:val="28"/>
          <w:szCs w:val="28"/>
          <w:lang w:eastAsia="en-US"/>
        </w:rPr>
        <w:t>[23</w:t>
      </w:r>
      <w:proofErr w:type="gramStart"/>
      <w:r w:rsidRPr="006D1FE7">
        <w:rPr>
          <w:rFonts w:eastAsia="Calibri"/>
          <w:sz w:val="28"/>
          <w:szCs w:val="28"/>
          <w:lang w:eastAsia="en-US"/>
        </w:rPr>
        <w:t>]</w:t>
      </w:r>
      <w:r w:rsidRPr="006D1FE7">
        <w:rPr>
          <w:rFonts w:eastAsia="Calibri"/>
          <w:noProof/>
          <w:sz w:val="28"/>
          <w:szCs w:val="28"/>
          <w:lang w:eastAsia="en-GB"/>
        </w:rPr>
        <w:t xml:space="preserve">  .</w:t>
      </w:r>
      <w:proofErr w:type="gramEnd"/>
      <w:r w:rsidRPr="006D1FE7">
        <w:rPr>
          <w:rFonts w:eastAsia="Calibri"/>
          <w:noProof/>
          <w:sz w:val="28"/>
          <w:szCs w:val="28"/>
          <w:lang w:eastAsia="en-GB"/>
        </w:rPr>
        <w:t xml:space="preserve"> In the wider picture of the Middle East the study showed that, by the end of this century, the “Fertile Crescent” would lose its current shape and could disappear altogether. Another forecast indicated that today’s 100-year drought could occur 10 times more frequently in the future over the large part of the northern Mediterranean, while in North Africa, today's 100-year drought will occur less frequently </w:t>
      </w:r>
      <w:r w:rsidRPr="006D1FE7">
        <w:rPr>
          <w:rFonts w:eastAsia="Calibri"/>
          <w:sz w:val="28"/>
          <w:szCs w:val="28"/>
          <w:lang w:eastAsia="en-US"/>
        </w:rPr>
        <w:t>[24]</w:t>
      </w:r>
      <w:r w:rsidRPr="006D1FE7">
        <w:rPr>
          <w:rFonts w:eastAsia="Calibri"/>
          <w:noProof/>
          <w:sz w:val="28"/>
          <w:szCs w:val="28"/>
          <w:lang w:eastAsia="en-GB"/>
        </w:rPr>
        <w:t>. It is logical to expect that water resources, both, surface water and groundwater in the Middle East And EMME will be affected as a direct consequence of precipitation reduction and increased demand due to higher evapotranspiration and growth of population.</w:t>
      </w:r>
    </w:p>
    <w:p w:rsidR="00DF0BFD" w:rsidRDefault="00F03418" w:rsidP="00EF5A57">
      <w:pPr>
        <w:spacing w:after="240" w:line="240" w:lineRule="auto"/>
        <w:rPr>
          <w:szCs w:val="24"/>
        </w:rPr>
      </w:pPr>
      <w:r w:rsidRPr="000574E9">
        <w:rPr>
          <w:b/>
          <w:sz w:val="30"/>
          <w:szCs w:val="30"/>
        </w:rPr>
        <w:t xml:space="preserve">3 </w:t>
      </w:r>
      <w:r w:rsidR="00EF5A57">
        <w:rPr>
          <w:b/>
          <w:sz w:val="30"/>
          <w:szCs w:val="30"/>
        </w:rPr>
        <w:t xml:space="preserve"> </w:t>
      </w:r>
      <w:r w:rsidR="00827E9C" w:rsidRPr="000574E9">
        <w:rPr>
          <w:b/>
          <w:sz w:val="30"/>
          <w:szCs w:val="30"/>
        </w:rPr>
        <w:t xml:space="preserve"> </w:t>
      </w:r>
      <w:r w:rsidR="00EF5A57" w:rsidRPr="00EF5A57">
        <w:rPr>
          <w:b/>
          <w:sz w:val="30"/>
          <w:szCs w:val="30"/>
        </w:rPr>
        <w:t>North Atlantic Oscillation (NAO) and its impact on The Euphrates - Tigris Basin (ETB)</w:t>
      </w:r>
    </w:p>
    <w:p w:rsidR="00EF5A57" w:rsidRPr="00EF5A57" w:rsidRDefault="00EF5A57" w:rsidP="00EF5A57">
      <w:pPr>
        <w:widowControl/>
        <w:adjustRightInd/>
        <w:spacing w:line="240" w:lineRule="auto"/>
        <w:ind w:firstLine="1304"/>
        <w:textAlignment w:val="auto"/>
        <w:rPr>
          <w:rFonts w:eastAsia="Calibri"/>
          <w:b/>
          <w:bCs/>
          <w:noProof/>
          <w:sz w:val="28"/>
          <w:szCs w:val="28"/>
          <w:lang w:eastAsia="en-GB"/>
        </w:rPr>
      </w:pPr>
      <w:r w:rsidRPr="00EF5A57">
        <w:rPr>
          <w:rFonts w:eastAsia="Calibri"/>
          <w:noProof/>
          <w:sz w:val="28"/>
          <w:szCs w:val="28"/>
          <w:lang w:eastAsia="en-GB"/>
        </w:rPr>
        <w:t xml:space="preserve">The North Atlantic Oscillation (NAO) is a weather phenomenon in the North Atlantic Ocean, of fluctuations in the difference of atmospheric pressure at sea level (SLP) between the Icelandic low and the Azores high. Through fluctuations in the strength of the Icelandic low pressures and the Azores high pressures, it controls the strength and direction of westerly winds and location of storm tracks across the North Atlantic. It is part of the Arctic oscillation and varies over time with no particular periodicity. The (NAO) was discovered and investigated through several studies in the late 19th and early 20th centuries </w:t>
      </w:r>
      <w:r w:rsidRPr="00EF5A57">
        <w:rPr>
          <w:rFonts w:eastAsia="Calibri"/>
          <w:sz w:val="28"/>
          <w:szCs w:val="28"/>
          <w:lang w:eastAsia="en-US"/>
        </w:rPr>
        <w:t>[25</w:t>
      </w:r>
      <w:proofErr w:type="gramStart"/>
      <w:r w:rsidRPr="00EF5A57">
        <w:rPr>
          <w:rFonts w:eastAsia="Calibri"/>
          <w:sz w:val="28"/>
          <w:szCs w:val="28"/>
          <w:lang w:eastAsia="en-US"/>
        </w:rPr>
        <w:t>]</w:t>
      </w:r>
      <w:r w:rsidRPr="00EF5A57">
        <w:rPr>
          <w:rFonts w:eastAsia="Calibri"/>
          <w:noProof/>
          <w:sz w:val="28"/>
          <w:szCs w:val="28"/>
          <w:lang w:eastAsia="en-GB"/>
        </w:rPr>
        <w:t xml:space="preserve">  .</w:t>
      </w:r>
      <w:proofErr w:type="gramEnd"/>
      <w:r w:rsidRPr="00EF5A57">
        <w:rPr>
          <w:rFonts w:eastAsia="Calibri"/>
          <w:noProof/>
          <w:sz w:val="28"/>
          <w:szCs w:val="28"/>
          <w:lang w:eastAsia="en-GB"/>
        </w:rPr>
        <w:t xml:space="preserve"> Unlike the El Niño-Southern Oscillation phenomenon in the Pacific Ocean, the (NAO) is a largely atmospheric mode. It is one of the most important manifestations of climate fluctuations in the North Atlantic and surrounding humid climates. Modifications to these oscillations due to Global Climate Change naturally will result in </w:t>
      </w:r>
      <w:r w:rsidRPr="00EF5A57">
        <w:rPr>
          <w:rFonts w:eastAsia="Calibri"/>
          <w:noProof/>
          <w:sz w:val="28"/>
          <w:szCs w:val="28"/>
          <w:lang w:eastAsia="en-GB"/>
        </w:rPr>
        <w:lastRenderedPageBreak/>
        <w:t>changing weather patterns over the regions where this mode prevails including the East Mediterranean region (EMME) of which the Euphrates and Tigris Basins (ETB) is one part.</w:t>
      </w:r>
    </w:p>
    <w:p w:rsidR="00EF5A57" w:rsidRPr="00EF5A57" w:rsidRDefault="00EF5A57" w:rsidP="00EF5A57">
      <w:pPr>
        <w:widowControl/>
        <w:adjustRightInd/>
        <w:spacing w:line="240" w:lineRule="auto"/>
        <w:ind w:firstLine="1304"/>
        <w:textAlignment w:val="auto"/>
        <w:rPr>
          <w:rFonts w:eastAsia="Calibri"/>
          <w:b/>
          <w:bCs/>
          <w:noProof/>
          <w:sz w:val="28"/>
          <w:szCs w:val="28"/>
          <w:lang w:eastAsia="en-GB"/>
        </w:rPr>
      </w:pPr>
      <w:r w:rsidRPr="00EF5A57">
        <w:rPr>
          <w:rFonts w:eastAsia="Calibri"/>
          <w:noProof/>
          <w:sz w:val="28"/>
          <w:szCs w:val="28"/>
          <w:lang w:eastAsia="en-GB"/>
        </w:rPr>
        <w:t>The Tigris and Euphrates River basin (ETB) forms a major part of the Eastern Mediterranean and the Middle East region (EMME), and consequently this basin is subject to weather modifications as foreseen by the Intergovernmental Panel on Climate Change (IPCC) models which indicate that storms activity in the eastern Mediterranean which is part of the (NAO) pattern would decline this century if global warming continues on the present trends. In turn, rainfall would decreases by between 15 and 25 percent over a large part of the land encompassing parts of Turkey, Syria, northern Iraq, and north-eastern Iran and the strategically important headwaters of the Euphrates and Tigris rivers. This point is illustrated by referring to ( Fig12) and (Fig.13) and tables (1) and (2); which show the different shares of the basin's water resources within the riparian countries; Turkey, Syria, Iraq, Iran, with very small contributions from Jordan and Saudi Arabia. The Figures show also the headwaters regions of the two rivers where the effect of the (NAO) is most prominent. Although  the (ETB) occupies large part of southern Turley and north and north-east of Syria, north and  northeast of Iraq and,  northwestern part of Iran, these parts  do not contribute proportionate shares in the water resources of the basin.</w:t>
      </w:r>
    </w:p>
    <w:p w:rsidR="00EF5A57" w:rsidRPr="00EF5A57" w:rsidRDefault="00EF5A57" w:rsidP="00EF5A57">
      <w:pPr>
        <w:widowControl/>
        <w:adjustRightInd/>
        <w:spacing w:line="240" w:lineRule="auto"/>
        <w:ind w:firstLine="1304"/>
        <w:textAlignment w:val="auto"/>
        <w:rPr>
          <w:rFonts w:eastAsia="Calibri"/>
          <w:b/>
          <w:bCs/>
          <w:noProof/>
          <w:sz w:val="28"/>
          <w:szCs w:val="28"/>
          <w:lang w:eastAsia="en-GB"/>
        </w:rPr>
      </w:pPr>
      <w:r w:rsidRPr="00EF5A57">
        <w:rPr>
          <w:rFonts w:eastAsia="Calibri"/>
          <w:noProof/>
          <w:sz w:val="28"/>
          <w:szCs w:val="28"/>
          <w:lang w:eastAsia="en-GB"/>
        </w:rPr>
        <w:t xml:space="preserve">The total area of the basin is 661,000 km2; so while this basin falls generally under the influence and impacts of Global Climate Change in the Middle East and North Africa (MENA), these impacts are modified to varying degrees by changes occurring to the (NAO) over its parts. This is being so as a result from the large geographical extent of the basin, and due to changes in topography within it, which include mountain ranges, inland lakes, and even deserts </w:t>
      </w:r>
      <w:r w:rsidRPr="00EF5A57">
        <w:rPr>
          <w:rFonts w:eastAsia="Calibri"/>
          <w:sz w:val="28"/>
          <w:szCs w:val="28"/>
          <w:lang w:eastAsia="en-US"/>
        </w:rPr>
        <w:t>[26]</w:t>
      </w:r>
      <w:r w:rsidRPr="00EF5A57">
        <w:rPr>
          <w:rFonts w:eastAsia="Calibri"/>
          <w:noProof/>
          <w:sz w:val="28"/>
          <w:szCs w:val="28"/>
          <w:lang w:eastAsia="en-GB"/>
        </w:rPr>
        <w:t>.</w:t>
      </w:r>
    </w:p>
    <w:p w:rsidR="00EF5A57" w:rsidRPr="00EF5A57" w:rsidRDefault="00EF5A57" w:rsidP="00EF5A57">
      <w:pPr>
        <w:widowControl/>
        <w:adjustRightInd/>
        <w:spacing w:line="240" w:lineRule="auto"/>
        <w:jc w:val="center"/>
        <w:textAlignment w:val="auto"/>
        <w:rPr>
          <w:rFonts w:eastAsia="Calibri"/>
          <w:noProof/>
          <w:sz w:val="28"/>
          <w:szCs w:val="28"/>
          <w:lang w:eastAsia="en-GB"/>
        </w:rPr>
      </w:pPr>
      <w:r w:rsidRPr="00EF5A57">
        <w:rPr>
          <w:rFonts w:eastAsia="Calibri"/>
          <w:noProof/>
          <w:sz w:val="28"/>
          <w:szCs w:val="28"/>
          <w:rtl/>
          <w:lang w:eastAsia="en-US"/>
        </w:rPr>
        <w:lastRenderedPageBreak/>
        <w:drawing>
          <wp:inline distT="0" distB="0" distL="0" distR="0" wp14:anchorId="5AC7983B" wp14:editId="3627F14A">
            <wp:extent cx="3476625" cy="4375823"/>
            <wp:effectExtent l="19050" t="19050" r="9525" b="24765"/>
            <wp:docPr id="18" name="Picture 1" descr="C:\Users\HP-PC\Downloads\Euphrated Basin-page-00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869316" name="Picture 1" descr="C:\Users\HP-PC\Downloads\Euphrated Basin-page-001 (1).jpg"/>
                    <pic:cNvPicPr>
                      <a:picLocks noChangeAspect="1" noChangeArrowheads="1"/>
                    </pic:cNvPicPr>
                  </pic:nvPicPr>
                  <pic:blipFill>
                    <a:blip r:embed="rId19" cstate="print"/>
                    <a:srcRect l="5046" t="1309" r="1923" b="20774"/>
                    <a:stretch>
                      <a:fillRect/>
                    </a:stretch>
                  </pic:blipFill>
                  <pic:spPr bwMode="auto">
                    <a:xfrm>
                      <a:off x="0" y="0"/>
                      <a:ext cx="3482440" cy="4383142"/>
                    </a:xfrm>
                    <a:prstGeom prst="rect">
                      <a:avLst/>
                    </a:prstGeom>
                    <a:noFill/>
                    <a:ln w="19050">
                      <a:solidFill>
                        <a:sysClr val="windowText" lastClr="000000"/>
                      </a:solidFill>
                      <a:miter lim="800000"/>
                      <a:headEnd/>
                      <a:tailEnd/>
                    </a:ln>
                  </pic:spPr>
                </pic:pic>
              </a:graphicData>
            </a:graphic>
          </wp:inline>
        </w:drawing>
      </w:r>
    </w:p>
    <w:p w:rsidR="00EF5A57" w:rsidRPr="00EF5A57" w:rsidRDefault="00EF5A57" w:rsidP="00EF5A57">
      <w:pPr>
        <w:widowControl/>
        <w:adjustRightInd/>
        <w:spacing w:line="240" w:lineRule="auto"/>
        <w:jc w:val="center"/>
        <w:textAlignment w:val="auto"/>
        <w:rPr>
          <w:rFonts w:eastAsia="Calibri"/>
          <w:noProof/>
          <w:sz w:val="28"/>
          <w:szCs w:val="28"/>
          <w:lang w:eastAsia="en-GB"/>
        </w:rPr>
      </w:pPr>
      <w:r w:rsidRPr="00EF5A57">
        <w:rPr>
          <w:rFonts w:eastAsia="Calibri"/>
          <w:noProof/>
          <w:sz w:val="28"/>
          <w:szCs w:val="28"/>
          <w:lang w:eastAsia="en-GB"/>
        </w:rPr>
        <w:t>Fig.12: Map of the Euphrates River catchment area ([27]).</w:t>
      </w:r>
    </w:p>
    <w:p w:rsidR="00EF5A57" w:rsidRDefault="00EF5A57" w:rsidP="00EF5A57">
      <w:pPr>
        <w:widowControl/>
        <w:adjustRightInd/>
        <w:spacing w:line="240" w:lineRule="auto"/>
        <w:jc w:val="center"/>
        <w:textAlignment w:val="auto"/>
        <w:rPr>
          <w:rFonts w:eastAsia="Calibri"/>
          <w:noProof/>
          <w:sz w:val="28"/>
          <w:szCs w:val="28"/>
          <w:lang w:eastAsia="en-GB"/>
        </w:rPr>
      </w:pPr>
    </w:p>
    <w:p w:rsidR="00EF5A57" w:rsidRDefault="00EF5A57" w:rsidP="00EF5A57">
      <w:pPr>
        <w:widowControl/>
        <w:adjustRightInd/>
        <w:spacing w:line="240" w:lineRule="auto"/>
        <w:jc w:val="center"/>
        <w:textAlignment w:val="auto"/>
        <w:rPr>
          <w:rFonts w:eastAsia="Calibri"/>
          <w:noProof/>
          <w:sz w:val="28"/>
          <w:szCs w:val="28"/>
          <w:lang w:eastAsia="en-GB"/>
        </w:rPr>
      </w:pPr>
    </w:p>
    <w:p w:rsidR="00EF5A57" w:rsidRDefault="00EF5A57" w:rsidP="00EF5A57">
      <w:pPr>
        <w:widowControl/>
        <w:adjustRightInd/>
        <w:spacing w:line="240" w:lineRule="auto"/>
        <w:jc w:val="center"/>
        <w:textAlignment w:val="auto"/>
        <w:rPr>
          <w:rFonts w:eastAsia="Calibri"/>
          <w:noProof/>
          <w:sz w:val="28"/>
          <w:szCs w:val="28"/>
          <w:lang w:eastAsia="en-GB"/>
        </w:rPr>
      </w:pPr>
    </w:p>
    <w:p w:rsidR="00EF5A57" w:rsidRDefault="00EF5A57" w:rsidP="00EF5A57">
      <w:pPr>
        <w:widowControl/>
        <w:adjustRightInd/>
        <w:spacing w:line="240" w:lineRule="auto"/>
        <w:jc w:val="center"/>
        <w:textAlignment w:val="auto"/>
        <w:rPr>
          <w:rFonts w:eastAsia="Calibri"/>
          <w:noProof/>
          <w:sz w:val="28"/>
          <w:szCs w:val="28"/>
          <w:lang w:eastAsia="en-GB"/>
        </w:rPr>
      </w:pPr>
    </w:p>
    <w:p w:rsidR="00EF5A57" w:rsidRPr="00EF5A57" w:rsidRDefault="00EF5A57" w:rsidP="00EF5A57">
      <w:pPr>
        <w:widowControl/>
        <w:adjustRightInd/>
        <w:spacing w:line="240" w:lineRule="auto"/>
        <w:jc w:val="center"/>
        <w:textAlignment w:val="auto"/>
        <w:rPr>
          <w:rFonts w:eastAsia="Calibri"/>
          <w:noProof/>
          <w:sz w:val="28"/>
          <w:szCs w:val="28"/>
          <w:lang w:eastAsia="en-GB"/>
        </w:rPr>
      </w:pPr>
    </w:p>
    <w:p w:rsidR="00EF5A57" w:rsidRPr="00EF5A57" w:rsidRDefault="00EF5A57" w:rsidP="00EF5A57">
      <w:pPr>
        <w:widowControl/>
        <w:adjustRightInd/>
        <w:spacing w:line="240" w:lineRule="auto"/>
        <w:jc w:val="center"/>
        <w:textAlignment w:val="auto"/>
        <w:rPr>
          <w:rFonts w:eastAsia="Calibri"/>
          <w:noProof/>
          <w:sz w:val="28"/>
          <w:szCs w:val="28"/>
          <w:lang w:eastAsia="en-GB"/>
        </w:rPr>
      </w:pPr>
      <w:r w:rsidRPr="00EF5A57">
        <w:rPr>
          <w:rFonts w:eastAsia="Calibri"/>
          <w:noProof/>
          <w:sz w:val="28"/>
          <w:szCs w:val="28"/>
          <w:lang w:eastAsia="en-GB"/>
        </w:rPr>
        <w:t>Table 1: Euphrates River Data</w:t>
      </w:r>
    </w:p>
    <w:tbl>
      <w:tblPr>
        <w:tblStyle w:val="TableGrid1"/>
        <w:tblW w:w="0" w:type="auto"/>
        <w:tblInd w:w="918" w:type="dxa"/>
        <w:tblBorders>
          <w:top w:val="triple" w:sz="4" w:space="0" w:color="auto"/>
          <w:left w:val="triple" w:sz="4" w:space="0" w:color="auto"/>
          <w:bottom w:val="triple" w:sz="4" w:space="0" w:color="auto"/>
          <w:right w:val="triple" w:sz="4" w:space="0" w:color="auto"/>
          <w:insideH w:val="triple" w:sz="4" w:space="0" w:color="auto"/>
          <w:insideV w:val="triple" w:sz="4" w:space="0" w:color="auto"/>
        </w:tblBorders>
        <w:tblLook w:val="04A0" w:firstRow="1" w:lastRow="0" w:firstColumn="1" w:lastColumn="0" w:noHBand="0" w:noVBand="1"/>
      </w:tblPr>
      <w:tblGrid>
        <w:gridCol w:w="3710"/>
        <w:gridCol w:w="3282"/>
      </w:tblGrid>
      <w:tr w:rsidR="00EF5A57" w:rsidRPr="0097169F" w:rsidTr="003D04DC">
        <w:trPr>
          <w:trHeight w:val="824"/>
        </w:trPr>
        <w:tc>
          <w:tcPr>
            <w:tcW w:w="3819" w:type="dxa"/>
          </w:tcPr>
          <w:p w:rsidR="00EF5A57" w:rsidRPr="00EF5A57" w:rsidRDefault="00EF5A57" w:rsidP="00EF5A57">
            <w:pPr>
              <w:widowControl/>
              <w:adjustRightInd/>
              <w:spacing w:line="240" w:lineRule="auto"/>
              <w:jc w:val="center"/>
              <w:textAlignment w:val="auto"/>
              <w:rPr>
                <w:sz w:val="18"/>
                <w:szCs w:val="18"/>
                <w:lang w:eastAsia="en-US"/>
              </w:rPr>
            </w:pPr>
            <w:r w:rsidRPr="00EF5A57">
              <w:rPr>
                <w:sz w:val="18"/>
                <w:szCs w:val="18"/>
                <w:lang w:eastAsia="en-US"/>
              </w:rPr>
              <w:t>Riparian Countries and their Basin Area Shares</w:t>
            </w:r>
          </w:p>
          <w:p w:rsidR="00EF5A57" w:rsidRPr="00EF5A57" w:rsidRDefault="00EF5A57" w:rsidP="00EF5A57">
            <w:pPr>
              <w:widowControl/>
              <w:adjustRightInd/>
              <w:spacing w:line="240" w:lineRule="auto"/>
              <w:jc w:val="center"/>
              <w:textAlignment w:val="auto"/>
              <w:rPr>
                <w:sz w:val="18"/>
                <w:szCs w:val="18"/>
                <w:lang w:eastAsia="en-US"/>
              </w:rPr>
            </w:pPr>
          </w:p>
        </w:tc>
        <w:tc>
          <w:tcPr>
            <w:tcW w:w="3375" w:type="dxa"/>
          </w:tcPr>
          <w:p w:rsidR="00EF5A57" w:rsidRPr="00EF5A57" w:rsidRDefault="00EF5A57" w:rsidP="00EF5A57">
            <w:pPr>
              <w:widowControl/>
              <w:adjustRightInd/>
              <w:spacing w:line="240" w:lineRule="auto"/>
              <w:jc w:val="center"/>
              <w:textAlignment w:val="auto"/>
              <w:rPr>
                <w:sz w:val="18"/>
                <w:szCs w:val="18"/>
                <w:lang w:val="sv-SE" w:eastAsia="en-US"/>
              </w:rPr>
            </w:pPr>
            <w:proofErr w:type="spellStart"/>
            <w:r w:rsidRPr="00EF5A57">
              <w:rPr>
                <w:sz w:val="18"/>
                <w:szCs w:val="18"/>
                <w:lang w:val="sv-SE" w:eastAsia="en-US"/>
              </w:rPr>
              <w:t>Turkey</w:t>
            </w:r>
            <w:proofErr w:type="spellEnd"/>
            <w:r w:rsidRPr="00EF5A57">
              <w:rPr>
                <w:sz w:val="18"/>
                <w:szCs w:val="18"/>
                <w:lang w:val="sv-SE" w:eastAsia="en-US"/>
              </w:rPr>
              <w:t xml:space="preserve"> (</w:t>
            </w:r>
            <w:proofErr w:type="gramStart"/>
            <w:r w:rsidRPr="00EF5A57">
              <w:rPr>
                <w:sz w:val="18"/>
                <w:szCs w:val="18"/>
                <w:lang w:val="sv-SE" w:eastAsia="en-US"/>
              </w:rPr>
              <w:t>28%</w:t>
            </w:r>
            <w:proofErr w:type="gramEnd"/>
            <w:r w:rsidRPr="00EF5A57">
              <w:rPr>
                <w:sz w:val="18"/>
                <w:szCs w:val="18"/>
                <w:lang w:val="sv-SE" w:eastAsia="en-US"/>
              </w:rPr>
              <w:t xml:space="preserve">),Iraq (47%), </w:t>
            </w:r>
            <w:proofErr w:type="spellStart"/>
            <w:r w:rsidRPr="00EF5A57">
              <w:rPr>
                <w:sz w:val="18"/>
                <w:szCs w:val="18"/>
                <w:lang w:val="sv-SE" w:eastAsia="en-US"/>
              </w:rPr>
              <w:t>Syria</w:t>
            </w:r>
            <w:proofErr w:type="spellEnd"/>
            <w:r w:rsidRPr="00EF5A57">
              <w:rPr>
                <w:sz w:val="18"/>
                <w:szCs w:val="18"/>
                <w:lang w:val="sv-SE" w:eastAsia="en-US"/>
              </w:rPr>
              <w:t xml:space="preserve"> (22%). Saudi Arabia (2,</w:t>
            </w:r>
            <w:proofErr w:type="gramStart"/>
            <w:r w:rsidRPr="00EF5A57">
              <w:rPr>
                <w:sz w:val="18"/>
                <w:szCs w:val="18"/>
                <w:lang w:val="sv-SE" w:eastAsia="en-US"/>
              </w:rPr>
              <w:t>97%</w:t>
            </w:r>
            <w:proofErr w:type="gramEnd"/>
            <w:r w:rsidRPr="00EF5A57">
              <w:rPr>
                <w:sz w:val="18"/>
                <w:szCs w:val="18"/>
                <w:lang w:val="sv-SE" w:eastAsia="en-US"/>
              </w:rPr>
              <w:t>), Jordan (0,03%)</w:t>
            </w:r>
          </w:p>
        </w:tc>
      </w:tr>
      <w:tr w:rsidR="00EF5A57" w:rsidRPr="00EF5A57" w:rsidTr="003D04DC">
        <w:trPr>
          <w:trHeight w:val="63"/>
        </w:trPr>
        <w:tc>
          <w:tcPr>
            <w:tcW w:w="3819" w:type="dxa"/>
          </w:tcPr>
          <w:p w:rsidR="00EF5A57" w:rsidRPr="00EF5A57" w:rsidRDefault="00EF5A57" w:rsidP="00EF5A57">
            <w:pPr>
              <w:widowControl/>
              <w:adjustRightInd/>
              <w:spacing w:line="240" w:lineRule="auto"/>
              <w:jc w:val="center"/>
              <w:textAlignment w:val="auto"/>
              <w:rPr>
                <w:sz w:val="18"/>
                <w:szCs w:val="18"/>
                <w:vertAlign w:val="superscript"/>
                <w:lang w:val="sv-SE" w:eastAsia="en-US"/>
              </w:rPr>
            </w:pPr>
            <w:r w:rsidRPr="00EF5A57">
              <w:rPr>
                <w:sz w:val="18"/>
                <w:szCs w:val="18"/>
                <w:lang w:val="sv-SE" w:eastAsia="en-US"/>
              </w:rPr>
              <w:t xml:space="preserve">Total Basin </w:t>
            </w:r>
            <w:proofErr w:type="gramStart"/>
            <w:r w:rsidRPr="00EF5A57">
              <w:rPr>
                <w:sz w:val="18"/>
                <w:szCs w:val="18"/>
                <w:lang w:val="sv-SE" w:eastAsia="en-US"/>
              </w:rPr>
              <w:t>Area,  km</w:t>
            </w:r>
            <w:r w:rsidRPr="00EF5A57">
              <w:rPr>
                <w:sz w:val="18"/>
                <w:szCs w:val="18"/>
                <w:vertAlign w:val="superscript"/>
                <w:lang w:val="sv-SE" w:eastAsia="en-US"/>
              </w:rPr>
              <w:t>2</w:t>
            </w:r>
            <w:proofErr w:type="gramEnd"/>
          </w:p>
          <w:p w:rsidR="00EF5A57" w:rsidRPr="00EF5A57" w:rsidRDefault="00EF5A57" w:rsidP="00EF5A57">
            <w:pPr>
              <w:widowControl/>
              <w:adjustRightInd/>
              <w:spacing w:line="240" w:lineRule="auto"/>
              <w:jc w:val="center"/>
              <w:textAlignment w:val="auto"/>
              <w:rPr>
                <w:sz w:val="18"/>
                <w:szCs w:val="18"/>
                <w:lang w:val="sv-SE" w:eastAsia="en-US"/>
              </w:rPr>
            </w:pPr>
            <w:r w:rsidRPr="00EF5A57">
              <w:rPr>
                <w:sz w:val="18"/>
                <w:szCs w:val="18"/>
                <w:lang w:val="sv-SE" w:eastAsia="en-US"/>
              </w:rPr>
              <w:t>.</w:t>
            </w:r>
          </w:p>
        </w:tc>
        <w:tc>
          <w:tcPr>
            <w:tcW w:w="3375" w:type="dxa"/>
          </w:tcPr>
          <w:p w:rsidR="00EF5A57" w:rsidRPr="00EF5A57" w:rsidRDefault="00EF5A57" w:rsidP="00EF5A57">
            <w:pPr>
              <w:widowControl/>
              <w:adjustRightInd/>
              <w:spacing w:line="240" w:lineRule="auto"/>
              <w:jc w:val="center"/>
              <w:textAlignment w:val="auto"/>
              <w:rPr>
                <w:sz w:val="18"/>
                <w:szCs w:val="18"/>
                <w:lang w:val="sv-SE" w:eastAsia="en-US"/>
              </w:rPr>
            </w:pPr>
            <w:r w:rsidRPr="00EF5A57">
              <w:rPr>
                <w:sz w:val="18"/>
                <w:szCs w:val="18"/>
                <w:lang w:val="sv-SE" w:eastAsia="en-US"/>
              </w:rPr>
              <w:t>440,000</w:t>
            </w:r>
          </w:p>
        </w:tc>
      </w:tr>
      <w:tr w:rsidR="00EF5A57" w:rsidRPr="00EF5A57" w:rsidTr="003D04DC">
        <w:trPr>
          <w:trHeight w:val="547"/>
        </w:trPr>
        <w:tc>
          <w:tcPr>
            <w:tcW w:w="3819" w:type="dxa"/>
          </w:tcPr>
          <w:p w:rsidR="00EF5A57" w:rsidRPr="00EF5A57" w:rsidRDefault="00EF5A57" w:rsidP="00EF5A57">
            <w:pPr>
              <w:widowControl/>
              <w:adjustRightInd/>
              <w:spacing w:line="240" w:lineRule="auto"/>
              <w:jc w:val="center"/>
              <w:textAlignment w:val="auto"/>
              <w:rPr>
                <w:sz w:val="18"/>
                <w:szCs w:val="18"/>
                <w:lang w:val="sv-SE" w:eastAsia="en-US"/>
              </w:rPr>
            </w:pPr>
            <w:r w:rsidRPr="00EF5A57">
              <w:rPr>
                <w:sz w:val="18"/>
                <w:szCs w:val="18"/>
                <w:lang w:val="sv-SE" w:eastAsia="en-US"/>
              </w:rPr>
              <w:t xml:space="preserve">River </w:t>
            </w:r>
            <w:proofErr w:type="spellStart"/>
            <w:proofErr w:type="gramStart"/>
            <w:r w:rsidRPr="00EF5A57">
              <w:rPr>
                <w:sz w:val="18"/>
                <w:szCs w:val="18"/>
                <w:lang w:val="sv-SE" w:eastAsia="en-US"/>
              </w:rPr>
              <w:t>Length,km</w:t>
            </w:r>
            <w:proofErr w:type="spellEnd"/>
            <w:proofErr w:type="gramEnd"/>
          </w:p>
          <w:p w:rsidR="00EF5A57" w:rsidRPr="00EF5A57" w:rsidRDefault="00EF5A57" w:rsidP="00EF5A57">
            <w:pPr>
              <w:widowControl/>
              <w:adjustRightInd/>
              <w:spacing w:line="240" w:lineRule="auto"/>
              <w:jc w:val="center"/>
              <w:textAlignment w:val="auto"/>
              <w:rPr>
                <w:sz w:val="18"/>
                <w:szCs w:val="18"/>
                <w:lang w:val="sv-SE" w:eastAsia="en-US"/>
              </w:rPr>
            </w:pPr>
          </w:p>
        </w:tc>
        <w:tc>
          <w:tcPr>
            <w:tcW w:w="3375" w:type="dxa"/>
          </w:tcPr>
          <w:p w:rsidR="00EF5A57" w:rsidRPr="00EF5A57" w:rsidRDefault="00EF5A57" w:rsidP="00EF5A57">
            <w:pPr>
              <w:widowControl/>
              <w:adjustRightInd/>
              <w:spacing w:line="240" w:lineRule="auto"/>
              <w:jc w:val="center"/>
              <w:textAlignment w:val="auto"/>
              <w:rPr>
                <w:sz w:val="18"/>
                <w:szCs w:val="18"/>
                <w:lang w:val="sv-SE" w:eastAsia="en-US"/>
              </w:rPr>
            </w:pPr>
            <w:r w:rsidRPr="00EF5A57">
              <w:rPr>
                <w:sz w:val="18"/>
                <w:szCs w:val="18"/>
                <w:lang w:val="sv-SE" w:eastAsia="en-US"/>
              </w:rPr>
              <w:t>2,786</w:t>
            </w:r>
          </w:p>
        </w:tc>
      </w:tr>
      <w:tr w:rsidR="00EF5A57" w:rsidRPr="00EF5A57" w:rsidTr="003D04DC">
        <w:trPr>
          <w:trHeight w:val="555"/>
        </w:trPr>
        <w:tc>
          <w:tcPr>
            <w:tcW w:w="3819" w:type="dxa"/>
          </w:tcPr>
          <w:p w:rsidR="00EF5A57" w:rsidRPr="00EF5A57" w:rsidRDefault="00EF5A57" w:rsidP="00EF5A57">
            <w:pPr>
              <w:widowControl/>
              <w:adjustRightInd/>
              <w:spacing w:line="240" w:lineRule="auto"/>
              <w:jc w:val="center"/>
              <w:textAlignment w:val="auto"/>
              <w:rPr>
                <w:sz w:val="18"/>
                <w:szCs w:val="18"/>
                <w:lang w:eastAsia="en-US"/>
              </w:rPr>
            </w:pPr>
            <w:r w:rsidRPr="00EF5A57">
              <w:rPr>
                <w:sz w:val="18"/>
                <w:szCs w:val="18"/>
                <w:lang w:eastAsia="en-US"/>
              </w:rPr>
              <w:t>Mean Annual Flow Volume,    Billion m</w:t>
            </w:r>
            <w:r w:rsidRPr="00EF5A57">
              <w:rPr>
                <w:sz w:val="18"/>
                <w:szCs w:val="18"/>
                <w:vertAlign w:val="superscript"/>
                <w:lang w:eastAsia="en-US"/>
              </w:rPr>
              <w:t>3</w:t>
            </w:r>
            <w:r w:rsidRPr="00EF5A57">
              <w:rPr>
                <w:sz w:val="18"/>
                <w:szCs w:val="18"/>
                <w:lang w:eastAsia="en-US"/>
              </w:rPr>
              <w:t>.</w:t>
            </w:r>
          </w:p>
        </w:tc>
        <w:tc>
          <w:tcPr>
            <w:tcW w:w="3375" w:type="dxa"/>
          </w:tcPr>
          <w:p w:rsidR="00EF5A57" w:rsidRPr="00EF5A57" w:rsidRDefault="00EF5A57" w:rsidP="00EF5A57">
            <w:pPr>
              <w:widowControl/>
              <w:adjustRightInd/>
              <w:spacing w:line="240" w:lineRule="auto"/>
              <w:jc w:val="center"/>
              <w:textAlignment w:val="auto"/>
              <w:rPr>
                <w:sz w:val="18"/>
                <w:szCs w:val="18"/>
                <w:lang w:eastAsia="en-US"/>
              </w:rPr>
            </w:pPr>
            <w:r w:rsidRPr="00EF5A57">
              <w:rPr>
                <w:sz w:val="18"/>
                <w:szCs w:val="18"/>
                <w:lang w:eastAsia="en-US"/>
              </w:rPr>
              <w:t>30 (1930-1973)</w:t>
            </w:r>
          </w:p>
          <w:p w:rsidR="00EF5A57" w:rsidRPr="00EF5A57" w:rsidRDefault="00EF5A57" w:rsidP="00EF5A57">
            <w:pPr>
              <w:widowControl/>
              <w:adjustRightInd/>
              <w:spacing w:line="240" w:lineRule="auto"/>
              <w:jc w:val="center"/>
              <w:textAlignment w:val="auto"/>
              <w:rPr>
                <w:sz w:val="18"/>
                <w:szCs w:val="18"/>
                <w:lang w:eastAsia="en-US"/>
              </w:rPr>
            </w:pPr>
            <w:r w:rsidRPr="00EF5A57">
              <w:rPr>
                <w:sz w:val="18"/>
                <w:szCs w:val="18"/>
                <w:lang w:eastAsia="en-US"/>
              </w:rPr>
              <w:t>25 (1074-2010)</w:t>
            </w:r>
          </w:p>
        </w:tc>
      </w:tr>
    </w:tbl>
    <w:p w:rsidR="00EF5A57" w:rsidRPr="00EF5A57" w:rsidRDefault="00EF5A57" w:rsidP="00EF5A57">
      <w:pPr>
        <w:widowControl/>
        <w:adjustRightInd/>
        <w:spacing w:line="240" w:lineRule="auto"/>
        <w:jc w:val="center"/>
        <w:textAlignment w:val="auto"/>
        <w:rPr>
          <w:rFonts w:eastAsia="Calibri"/>
          <w:i/>
          <w:iCs/>
          <w:noProof/>
          <w:sz w:val="22"/>
          <w:szCs w:val="22"/>
          <w:lang w:val="en-GB" w:eastAsia="en-GB"/>
        </w:rPr>
      </w:pPr>
    </w:p>
    <w:p w:rsidR="00EF5A57" w:rsidRPr="00EF5A57" w:rsidRDefault="00EF5A57" w:rsidP="00EF5A57">
      <w:pPr>
        <w:widowControl/>
        <w:adjustRightInd/>
        <w:spacing w:line="240" w:lineRule="auto"/>
        <w:jc w:val="center"/>
        <w:textAlignment w:val="auto"/>
        <w:rPr>
          <w:rFonts w:eastAsia="Calibri"/>
          <w:noProof/>
          <w:sz w:val="28"/>
          <w:szCs w:val="28"/>
          <w:lang w:eastAsia="en-GB"/>
        </w:rPr>
      </w:pPr>
      <w:r w:rsidRPr="00EF5A57">
        <w:rPr>
          <w:rFonts w:eastAsia="Calibri"/>
          <w:noProof/>
          <w:sz w:val="28"/>
          <w:szCs w:val="28"/>
          <w:rtl/>
          <w:lang w:eastAsia="en-US"/>
        </w:rPr>
        <w:lastRenderedPageBreak/>
        <w:drawing>
          <wp:inline distT="0" distB="0" distL="0" distR="0" wp14:anchorId="35608644" wp14:editId="530BA523">
            <wp:extent cx="3367785" cy="4572000"/>
            <wp:effectExtent l="19050" t="19050" r="23115" b="19050"/>
            <wp:docPr id="19" name="Picture 1" descr="C:\Users\HP-PC\Downloads\00-inventory-of-shared-water-resources-in-western-asia-web ESCWA Un-117-117-p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845900" name="Picture 1" descr="C:\Users\HP-PC\Downloads\00-inventory-of-shared-water-resources-in-western-asia-web ESCWA Un-117-117-page-001.jpg"/>
                    <pic:cNvPicPr>
                      <a:picLocks noChangeAspect="1" noChangeArrowheads="1"/>
                    </pic:cNvPicPr>
                  </pic:nvPicPr>
                  <pic:blipFill>
                    <a:blip r:embed="rId20" cstate="print"/>
                    <a:srcRect l="20173" t="9935" r="671" b="20042"/>
                    <a:stretch>
                      <a:fillRect/>
                    </a:stretch>
                  </pic:blipFill>
                  <pic:spPr bwMode="auto">
                    <a:xfrm>
                      <a:off x="0" y="0"/>
                      <a:ext cx="3367785" cy="4572000"/>
                    </a:xfrm>
                    <a:prstGeom prst="rect">
                      <a:avLst/>
                    </a:prstGeom>
                    <a:noFill/>
                    <a:ln w="19050">
                      <a:solidFill>
                        <a:sysClr val="windowText" lastClr="000000"/>
                      </a:solidFill>
                      <a:miter lim="800000"/>
                      <a:headEnd/>
                      <a:tailEnd/>
                    </a:ln>
                  </pic:spPr>
                </pic:pic>
              </a:graphicData>
            </a:graphic>
          </wp:inline>
        </w:drawing>
      </w:r>
    </w:p>
    <w:p w:rsidR="00EF5A57" w:rsidRPr="00EF5A57" w:rsidRDefault="00EF5A57" w:rsidP="00EF5A57">
      <w:pPr>
        <w:widowControl/>
        <w:adjustRightInd/>
        <w:spacing w:line="240" w:lineRule="auto"/>
        <w:jc w:val="center"/>
        <w:textAlignment w:val="auto"/>
        <w:rPr>
          <w:rFonts w:eastAsia="Calibri"/>
          <w:noProof/>
          <w:sz w:val="28"/>
          <w:szCs w:val="28"/>
          <w:lang w:eastAsia="en-GB"/>
        </w:rPr>
      </w:pPr>
      <w:r w:rsidRPr="00EF5A57">
        <w:rPr>
          <w:rFonts w:eastAsia="Calibri"/>
          <w:noProof/>
          <w:sz w:val="28"/>
          <w:szCs w:val="28"/>
          <w:lang w:eastAsia="en-GB"/>
        </w:rPr>
        <w:t>Fig. 13: Map of the Tigris River Catchment Area ([27]).</w:t>
      </w:r>
    </w:p>
    <w:p w:rsidR="00EF5A57" w:rsidRDefault="00EF5A57" w:rsidP="00EF5A57">
      <w:pPr>
        <w:widowControl/>
        <w:adjustRightInd/>
        <w:spacing w:line="240" w:lineRule="auto"/>
        <w:jc w:val="center"/>
        <w:textAlignment w:val="auto"/>
        <w:rPr>
          <w:rFonts w:eastAsia="Calibri"/>
          <w:noProof/>
          <w:sz w:val="28"/>
          <w:szCs w:val="28"/>
          <w:lang w:eastAsia="en-GB"/>
        </w:rPr>
      </w:pPr>
    </w:p>
    <w:p w:rsidR="00EF5A57" w:rsidRDefault="00EF5A57" w:rsidP="00EF5A57">
      <w:pPr>
        <w:widowControl/>
        <w:adjustRightInd/>
        <w:spacing w:line="240" w:lineRule="auto"/>
        <w:jc w:val="center"/>
        <w:textAlignment w:val="auto"/>
        <w:rPr>
          <w:rFonts w:eastAsia="Calibri"/>
          <w:noProof/>
          <w:sz w:val="28"/>
          <w:szCs w:val="28"/>
          <w:lang w:eastAsia="en-GB"/>
        </w:rPr>
      </w:pPr>
    </w:p>
    <w:p w:rsidR="00EF5A57" w:rsidRDefault="00EF5A57" w:rsidP="00EF5A57">
      <w:pPr>
        <w:widowControl/>
        <w:adjustRightInd/>
        <w:spacing w:line="240" w:lineRule="auto"/>
        <w:jc w:val="center"/>
        <w:textAlignment w:val="auto"/>
        <w:rPr>
          <w:rFonts w:eastAsia="Calibri"/>
          <w:noProof/>
          <w:sz w:val="28"/>
          <w:szCs w:val="28"/>
          <w:lang w:eastAsia="en-GB"/>
        </w:rPr>
      </w:pPr>
    </w:p>
    <w:p w:rsidR="00EF5A57" w:rsidRDefault="00EF5A57" w:rsidP="00EF5A57">
      <w:pPr>
        <w:widowControl/>
        <w:adjustRightInd/>
        <w:spacing w:line="240" w:lineRule="auto"/>
        <w:jc w:val="center"/>
        <w:textAlignment w:val="auto"/>
        <w:rPr>
          <w:rFonts w:eastAsia="Calibri"/>
          <w:noProof/>
          <w:sz w:val="28"/>
          <w:szCs w:val="28"/>
          <w:lang w:eastAsia="en-GB"/>
        </w:rPr>
      </w:pPr>
    </w:p>
    <w:p w:rsidR="00EF5A57" w:rsidRPr="00EF5A57" w:rsidRDefault="00EF5A57" w:rsidP="00EF5A57">
      <w:pPr>
        <w:widowControl/>
        <w:adjustRightInd/>
        <w:spacing w:line="240" w:lineRule="auto"/>
        <w:jc w:val="center"/>
        <w:textAlignment w:val="auto"/>
        <w:rPr>
          <w:rFonts w:eastAsia="Calibri"/>
          <w:noProof/>
          <w:sz w:val="28"/>
          <w:szCs w:val="28"/>
          <w:lang w:eastAsia="en-GB"/>
        </w:rPr>
      </w:pPr>
      <w:r w:rsidRPr="00EF5A57">
        <w:rPr>
          <w:rFonts w:eastAsia="Calibri"/>
          <w:noProof/>
          <w:sz w:val="28"/>
          <w:szCs w:val="28"/>
          <w:lang w:eastAsia="en-GB"/>
        </w:rPr>
        <w:t>Table 2: Tigris River Data.</w:t>
      </w:r>
    </w:p>
    <w:tbl>
      <w:tblPr>
        <w:tblStyle w:val="TableGrid1"/>
        <w:tblW w:w="0" w:type="auto"/>
        <w:tblInd w:w="918" w:type="dxa"/>
        <w:tblBorders>
          <w:top w:val="triple" w:sz="4" w:space="0" w:color="auto"/>
          <w:left w:val="triple" w:sz="4" w:space="0" w:color="auto"/>
          <w:bottom w:val="triple" w:sz="4" w:space="0" w:color="auto"/>
          <w:right w:val="triple" w:sz="4" w:space="0" w:color="auto"/>
          <w:insideH w:val="triple" w:sz="4" w:space="0" w:color="auto"/>
          <w:insideV w:val="triple" w:sz="4" w:space="0" w:color="auto"/>
        </w:tblBorders>
        <w:tblLook w:val="04A0" w:firstRow="1" w:lastRow="0" w:firstColumn="1" w:lastColumn="0" w:noHBand="0" w:noVBand="1"/>
      </w:tblPr>
      <w:tblGrid>
        <w:gridCol w:w="3713"/>
        <w:gridCol w:w="3279"/>
      </w:tblGrid>
      <w:tr w:rsidR="00EF5A57" w:rsidRPr="00EF5A57" w:rsidTr="003D04DC">
        <w:tc>
          <w:tcPr>
            <w:tcW w:w="3870" w:type="dxa"/>
          </w:tcPr>
          <w:p w:rsidR="00EF5A57" w:rsidRPr="00EF5A57" w:rsidRDefault="00EF5A57" w:rsidP="00EF5A57">
            <w:pPr>
              <w:widowControl/>
              <w:adjustRightInd/>
              <w:spacing w:line="240" w:lineRule="auto"/>
              <w:jc w:val="center"/>
              <w:textAlignment w:val="auto"/>
              <w:rPr>
                <w:sz w:val="18"/>
                <w:szCs w:val="18"/>
                <w:lang w:eastAsia="en-US"/>
              </w:rPr>
            </w:pPr>
            <w:r w:rsidRPr="00EF5A57">
              <w:rPr>
                <w:sz w:val="18"/>
                <w:szCs w:val="18"/>
                <w:lang w:eastAsia="en-US"/>
              </w:rPr>
              <w:t>Riparian Countries and their Basin Area share Shares</w:t>
            </w:r>
          </w:p>
          <w:p w:rsidR="00EF5A57" w:rsidRPr="00EF5A57" w:rsidRDefault="00EF5A57" w:rsidP="00EF5A57">
            <w:pPr>
              <w:widowControl/>
              <w:adjustRightInd/>
              <w:spacing w:line="240" w:lineRule="auto"/>
              <w:jc w:val="center"/>
              <w:textAlignment w:val="auto"/>
              <w:rPr>
                <w:sz w:val="18"/>
                <w:szCs w:val="18"/>
                <w:lang w:eastAsia="en-US"/>
              </w:rPr>
            </w:pPr>
          </w:p>
        </w:tc>
        <w:tc>
          <w:tcPr>
            <w:tcW w:w="3420" w:type="dxa"/>
          </w:tcPr>
          <w:p w:rsidR="00EF5A57" w:rsidRPr="00EF5A57" w:rsidRDefault="00EF5A57" w:rsidP="00EF5A57">
            <w:pPr>
              <w:widowControl/>
              <w:adjustRightInd/>
              <w:spacing w:line="240" w:lineRule="auto"/>
              <w:jc w:val="center"/>
              <w:textAlignment w:val="auto"/>
              <w:rPr>
                <w:sz w:val="18"/>
                <w:szCs w:val="18"/>
                <w:lang w:eastAsia="en-US"/>
              </w:rPr>
            </w:pPr>
            <w:r w:rsidRPr="00EF5A57">
              <w:rPr>
                <w:sz w:val="18"/>
                <w:szCs w:val="18"/>
                <w:lang w:eastAsia="en-US"/>
              </w:rPr>
              <w:t>Iraq (56.1%), Turkey (24.4%), Iran (19%), Syria (0</w:t>
            </w:r>
            <w:proofErr w:type="gramStart"/>
            <w:r w:rsidRPr="00EF5A57">
              <w:rPr>
                <w:sz w:val="18"/>
                <w:szCs w:val="18"/>
                <w:lang w:eastAsia="en-US"/>
              </w:rPr>
              <w:t>,05</w:t>
            </w:r>
            <w:proofErr w:type="gramEnd"/>
            <w:r w:rsidRPr="00EF5A57">
              <w:rPr>
                <w:sz w:val="18"/>
                <w:szCs w:val="18"/>
                <w:lang w:eastAsia="en-US"/>
              </w:rPr>
              <w:t>%)</w:t>
            </w:r>
          </w:p>
        </w:tc>
      </w:tr>
      <w:tr w:rsidR="00EF5A57" w:rsidRPr="00EF5A57" w:rsidTr="003D04DC">
        <w:trPr>
          <w:trHeight w:val="382"/>
        </w:trPr>
        <w:tc>
          <w:tcPr>
            <w:tcW w:w="3870" w:type="dxa"/>
          </w:tcPr>
          <w:p w:rsidR="00EF5A57" w:rsidRPr="00EF5A57" w:rsidRDefault="00EF5A57" w:rsidP="00EF5A57">
            <w:pPr>
              <w:widowControl/>
              <w:adjustRightInd/>
              <w:spacing w:line="240" w:lineRule="auto"/>
              <w:jc w:val="center"/>
              <w:textAlignment w:val="auto"/>
              <w:rPr>
                <w:sz w:val="18"/>
                <w:szCs w:val="18"/>
                <w:lang w:eastAsia="en-US"/>
              </w:rPr>
            </w:pPr>
            <w:r w:rsidRPr="00EF5A57">
              <w:rPr>
                <w:sz w:val="18"/>
                <w:szCs w:val="18"/>
                <w:lang w:val="sv-SE" w:eastAsia="en-US"/>
              </w:rPr>
              <w:t>Total Basin Area, km</w:t>
            </w:r>
            <w:r w:rsidRPr="00EF5A57">
              <w:rPr>
                <w:sz w:val="18"/>
                <w:szCs w:val="18"/>
                <w:vertAlign w:val="superscript"/>
                <w:lang w:val="sv-SE" w:eastAsia="en-US"/>
              </w:rPr>
              <w:t>2</w:t>
            </w:r>
            <w:r w:rsidRPr="00EF5A57">
              <w:rPr>
                <w:sz w:val="18"/>
                <w:szCs w:val="18"/>
                <w:lang w:val="sv-SE" w:eastAsia="en-US"/>
              </w:rPr>
              <w:t>.</w:t>
            </w:r>
          </w:p>
        </w:tc>
        <w:tc>
          <w:tcPr>
            <w:tcW w:w="3420" w:type="dxa"/>
          </w:tcPr>
          <w:p w:rsidR="00EF5A57" w:rsidRPr="00EF5A57" w:rsidRDefault="00EF5A57" w:rsidP="00EF5A57">
            <w:pPr>
              <w:widowControl/>
              <w:adjustRightInd/>
              <w:spacing w:line="240" w:lineRule="auto"/>
              <w:jc w:val="center"/>
              <w:textAlignment w:val="auto"/>
              <w:rPr>
                <w:sz w:val="18"/>
                <w:szCs w:val="18"/>
                <w:lang w:eastAsia="en-US"/>
              </w:rPr>
            </w:pPr>
            <w:r w:rsidRPr="00EF5A57">
              <w:rPr>
                <w:sz w:val="18"/>
                <w:szCs w:val="18"/>
                <w:lang w:eastAsia="en-US"/>
              </w:rPr>
              <w:t>221,000</w:t>
            </w:r>
          </w:p>
          <w:p w:rsidR="00EF5A57" w:rsidRPr="00EF5A57" w:rsidRDefault="00EF5A57" w:rsidP="00EF5A57">
            <w:pPr>
              <w:widowControl/>
              <w:adjustRightInd/>
              <w:spacing w:line="240" w:lineRule="auto"/>
              <w:jc w:val="center"/>
              <w:textAlignment w:val="auto"/>
              <w:rPr>
                <w:sz w:val="18"/>
                <w:szCs w:val="18"/>
                <w:lang w:eastAsia="en-US"/>
              </w:rPr>
            </w:pPr>
          </w:p>
        </w:tc>
      </w:tr>
      <w:tr w:rsidR="00EF5A57" w:rsidRPr="00EF5A57" w:rsidTr="003D04DC">
        <w:trPr>
          <w:trHeight w:val="190"/>
        </w:trPr>
        <w:tc>
          <w:tcPr>
            <w:tcW w:w="3870" w:type="dxa"/>
          </w:tcPr>
          <w:p w:rsidR="00EF5A57" w:rsidRPr="00EF5A57" w:rsidRDefault="00EF5A57" w:rsidP="00EF5A57">
            <w:pPr>
              <w:widowControl/>
              <w:adjustRightInd/>
              <w:spacing w:line="240" w:lineRule="auto"/>
              <w:jc w:val="center"/>
              <w:textAlignment w:val="auto"/>
              <w:rPr>
                <w:sz w:val="18"/>
                <w:szCs w:val="18"/>
                <w:lang w:eastAsia="en-US"/>
              </w:rPr>
            </w:pPr>
            <w:r w:rsidRPr="00EF5A57">
              <w:rPr>
                <w:sz w:val="18"/>
                <w:szCs w:val="18"/>
                <w:lang w:val="sv-SE" w:eastAsia="en-US"/>
              </w:rPr>
              <w:t xml:space="preserve">River </w:t>
            </w:r>
            <w:proofErr w:type="spellStart"/>
            <w:proofErr w:type="gramStart"/>
            <w:r w:rsidRPr="00EF5A57">
              <w:rPr>
                <w:sz w:val="18"/>
                <w:szCs w:val="18"/>
                <w:lang w:val="sv-SE" w:eastAsia="en-US"/>
              </w:rPr>
              <w:t>Length,km</w:t>
            </w:r>
            <w:proofErr w:type="spellEnd"/>
            <w:proofErr w:type="gramEnd"/>
          </w:p>
        </w:tc>
        <w:tc>
          <w:tcPr>
            <w:tcW w:w="3420" w:type="dxa"/>
          </w:tcPr>
          <w:p w:rsidR="00EF5A57" w:rsidRPr="00EF5A57" w:rsidRDefault="00EF5A57" w:rsidP="00EF5A57">
            <w:pPr>
              <w:widowControl/>
              <w:adjustRightInd/>
              <w:spacing w:line="240" w:lineRule="auto"/>
              <w:jc w:val="center"/>
              <w:textAlignment w:val="auto"/>
              <w:rPr>
                <w:sz w:val="18"/>
                <w:szCs w:val="18"/>
                <w:lang w:eastAsia="en-US"/>
              </w:rPr>
            </w:pPr>
            <w:r w:rsidRPr="00EF5A57">
              <w:rPr>
                <w:sz w:val="18"/>
                <w:szCs w:val="18"/>
                <w:lang w:eastAsia="en-US"/>
              </w:rPr>
              <w:t>1,880</w:t>
            </w:r>
          </w:p>
          <w:p w:rsidR="00EF5A57" w:rsidRPr="00EF5A57" w:rsidRDefault="00EF5A57" w:rsidP="00EF5A57">
            <w:pPr>
              <w:widowControl/>
              <w:adjustRightInd/>
              <w:spacing w:line="240" w:lineRule="auto"/>
              <w:jc w:val="center"/>
              <w:textAlignment w:val="auto"/>
              <w:rPr>
                <w:sz w:val="18"/>
                <w:szCs w:val="18"/>
                <w:lang w:eastAsia="en-US"/>
              </w:rPr>
            </w:pPr>
          </w:p>
        </w:tc>
      </w:tr>
      <w:tr w:rsidR="00EF5A57" w:rsidRPr="00EF5A57" w:rsidTr="003D04DC">
        <w:trPr>
          <w:trHeight w:val="136"/>
        </w:trPr>
        <w:tc>
          <w:tcPr>
            <w:tcW w:w="3870" w:type="dxa"/>
          </w:tcPr>
          <w:p w:rsidR="00EF5A57" w:rsidRPr="00EF5A57" w:rsidRDefault="00EF5A57" w:rsidP="00EF5A57">
            <w:pPr>
              <w:widowControl/>
              <w:adjustRightInd/>
              <w:spacing w:line="240" w:lineRule="auto"/>
              <w:jc w:val="center"/>
              <w:textAlignment w:val="auto"/>
              <w:rPr>
                <w:sz w:val="18"/>
                <w:szCs w:val="18"/>
                <w:lang w:eastAsia="en-US"/>
              </w:rPr>
            </w:pPr>
            <w:r w:rsidRPr="00EF5A57">
              <w:rPr>
                <w:sz w:val="18"/>
                <w:szCs w:val="18"/>
                <w:lang w:eastAsia="en-US"/>
              </w:rPr>
              <w:t>Mean Annual Flow Volume, Billion m</w:t>
            </w:r>
            <w:r w:rsidRPr="00EF5A57">
              <w:rPr>
                <w:sz w:val="18"/>
                <w:szCs w:val="18"/>
                <w:vertAlign w:val="superscript"/>
                <w:lang w:eastAsia="en-US"/>
              </w:rPr>
              <w:t>3</w:t>
            </w:r>
            <w:r w:rsidRPr="00EF5A57">
              <w:rPr>
                <w:sz w:val="18"/>
                <w:szCs w:val="18"/>
                <w:lang w:eastAsia="en-US"/>
              </w:rPr>
              <w:t>.</w:t>
            </w:r>
          </w:p>
        </w:tc>
        <w:tc>
          <w:tcPr>
            <w:tcW w:w="3420" w:type="dxa"/>
          </w:tcPr>
          <w:p w:rsidR="00EF5A57" w:rsidRPr="00EF5A57" w:rsidRDefault="00EF5A57" w:rsidP="00EF5A57">
            <w:pPr>
              <w:widowControl/>
              <w:adjustRightInd/>
              <w:spacing w:line="240" w:lineRule="auto"/>
              <w:jc w:val="center"/>
              <w:textAlignment w:val="auto"/>
              <w:rPr>
                <w:sz w:val="18"/>
                <w:szCs w:val="18"/>
                <w:lang w:eastAsia="en-US"/>
              </w:rPr>
            </w:pPr>
            <w:r w:rsidRPr="00EF5A57">
              <w:rPr>
                <w:sz w:val="18"/>
                <w:szCs w:val="18"/>
                <w:lang w:eastAsia="en-US"/>
              </w:rPr>
              <w:t>26 ( at Kut)</w:t>
            </w:r>
          </w:p>
        </w:tc>
      </w:tr>
    </w:tbl>
    <w:p w:rsidR="00EF5A57" w:rsidRPr="00EF5A57" w:rsidRDefault="00EF5A57" w:rsidP="00EF5A57">
      <w:pPr>
        <w:widowControl/>
        <w:adjustRightInd/>
        <w:spacing w:line="240" w:lineRule="auto"/>
        <w:jc w:val="center"/>
        <w:textAlignment w:val="auto"/>
        <w:rPr>
          <w:rFonts w:eastAsia="Calibri"/>
          <w:szCs w:val="24"/>
          <w:lang w:val="sv-SE" w:eastAsia="en-US"/>
        </w:rPr>
      </w:pPr>
    </w:p>
    <w:p w:rsidR="00EF5A57" w:rsidRPr="00EF5A57" w:rsidRDefault="00EF5A57" w:rsidP="00EF5A57">
      <w:pPr>
        <w:widowControl/>
        <w:adjustRightInd/>
        <w:spacing w:line="240" w:lineRule="auto"/>
        <w:ind w:firstLine="1304"/>
        <w:textAlignment w:val="auto"/>
        <w:rPr>
          <w:rFonts w:eastAsia="Calibri"/>
          <w:noProof/>
          <w:sz w:val="28"/>
          <w:szCs w:val="28"/>
          <w:lang w:eastAsia="en-GB"/>
        </w:rPr>
      </w:pPr>
      <w:r w:rsidRPr="00EF5A57">
        <w:rPr>
          <w:rFonts w:eastAsia="Calibri"/>
          <w:noProof/>
          <w:sz w:val="28"/>
          <w:szCs w:val="28"/>
          <w:lang w:eastAsia="en-GB"/>
        </w:rPr>
        <w:t xml:space="preserve">Recent work done by the University of New South Wales Climate Change Research Centre </w:t>
      </w:r>
      <w:r w:rsidRPr="00EF5A57">
        <w:rPr>
          <w:rFonts w:eastAsia="Calibri"/>
          <w:sz w:val="28"/>
          <w:szCs w:val="28"/>
          <w:lang w:eastAsia="en-US"/>
        </w:rPr>
        <w:t>[28]</w:t>
      </w:r>
      <w:r w:rsidRPr="00EF5A57">
        <w:rPr>
          <w:rFonts w:eastAsia="Calibri"/>
          <w:noProof/>
          <w:sz w:val="28"/>
          <w:szCs w:val="28"/>
          <w:lang w:eastAsia="en-GB"/>
        </w:rPr>
        <w:t xml:space="preserve"> suggests that the Climate Change </w:t>
      </w:r>
      <w:r w:rsidRPr="00EF5A57">
        <w:rPr>
          <w:rFonts w:eastAsia="Calibri"/>
          <w:noProof/>
          <w:sz w:val="28"/>
          <w:szCs w:val="28"/>
          <w:lang w:eastAsia="en-GB"/>
        </w:rPr>
        <w:lastRenderedPageBreak/>
        <w:t>projections on this region present a significant challenge to the region’s agricultural base, with longer dry seasons and changes in the timing of maximum precipitation significant This paper quotes:</w:t>
      </w:r>
    </w:p>
    <w:p w:rsidR="00EF5A57" w:rsidRPr="00EF5A57" w:rsidRDefault="00EF5A57" w:rsidP="00EF5A57">
      <w:pPr>
        <w:widowControl/>
        <w:adjustRightInd/>
        <w:spacing w:line="240" w:lineRule="auto"/>
        <w:textAlignment w:val="auto"/>
        <w:rPr>
          <w:rFonts w:eastAsia="Calibri"/>
          <w:i/>
          <w:iCs/>
          <w:noProof/>
          <w:sz w:val="28"/>
          <w:szCs w:val="28"/>
          <w:lang w:eastAsia="en-GB"/>
        </w:rPr>
      </w:pPr>
      <w:r w:rsidRPr="00EF5A57">
        <w:rPr>
          <w:rFonts w:eastAsia="Calibri"/>
          <w:i/>
          <w:iCs/>
          <w:noProof/>
          <w:sz w:val="28"/>
          <w:szCs w:val="28"/>
          <w:lang w:eastAsia="en-GB"/>
        </w:rPr>
        <w:t>“The largest change, however,  is a decrease in precipitation that occurs in an area covering the Eastern Mediterranean, Turkey, Syria, Northern Iraq, Northeastern Iran and the Caucasus caused by a decrease in storm track activity over the Eastern Mediterranean. Other changes likely to impact the region include a decrease of over 170,000 km2 in viable rain-fed agriculture land by late-century, increases in the length of the dry season that reduces the length of time that the rangelands can be grazed, and changes in the timing of the maximum precipitation in Northern Iran that will impact the growing season, forcing changes in cropping strategy or even crop types".</w:t>
      </w:r>
    </w:p>
    <w:p w:rsidR="00EF5A57" w:rsidRPr="00EF5A57" w:rsidRDefault="00EF5A57" w:rsidP="00EF5A57">
      <w:pPr>
        <w:widowControl/>
        <w:adjustRightInd/>
        <w:spacing w:line="240" w:lineRule="auto"/>
        <w:ind w:firstLine="1304"/>
        <w:textAlignment w:val="auto"/>
        <w:rPr>
          <w:rFonts w:eastAsia="Calibri"/>
          <w:i/>
          <w:iCs/>
          <w:noProof/>
          <w:sz w:val="28"/>
          <w:szCs w:val="28"/>
          <w:lang w:eastAsia="en-GB"/>
        </w:rPr>
      </w:pPr>
      <w:r w:rsidRPr="00EF5A57">
        <w:rPr>
          <w:rFonts w:eastAsia="Calibri"/>
          <w:noProof/>
          <w:sz w:val="28"/>
          <w:szCs w:val="28"/>
          <w:lang w:eastAsia="en-GB"/>
        </w:rPr>
        <w:t>The study, however,  notes that projections based solely on the results of global climate change modeling tend to obscure smaller-scale regional effects; So by using regional climate modeling specific to the Middle East, the results  obtained by the same researcher suggest, despite declines in storm activity, that moisture-bearing winds could be channeled inland more often and diverted by the Zagros Mountains, bringing an increase of over 50 percent in annual rainfall to some localities in the (ETB) and by that emphasizing the modifications resulting from changing topography.</w:t>
      </w:r>
    </w:p>
    <w:p w:rsidR="00EF5A57" w:rsidRPr="00EF5A57" w:rsidRDefault="00EF5A57" w:rsidP="00EF5A57">
      <w:pPr>
        <w:widowControl/>
        <w:adjustRightInd/>
        <w:spacing w:line="240" w:lineRule="auto"/>
        <w:ind w:firstLine="1304"/>
        <w:textAlignment w:val="auto"/>
        <w:rPr>
          <w:rFonts w:eastAsia="Calibri"/>
          <w:i/>
          <w:iCs/>
          <w:noProof/>
          <w:sz w:val="28"/>
          <w:szCs w:val="28"/>
          <w:lang w:eastAsia="en-GB"/>
        </w:rPr>
      </w:pPr>
      <w:r w:rsidRPr="00EF5A57">
        <w:rPr>
          <w:rFonts w:eastAsia="Calibri"/>
          <w:noProof/>
          <w:sz w:val="28"/>
          <w:szCs w:val="28"/>
          <w:lang w:eastAsia="en-GB"/>
        </w:rPr>
        <w:t>These widely ranging projections and interpretations of different sources depict an uncertain future for the basin’s climatic conditions and indicate the need for further modeling studies to reach more definitive conclusions.It may be said, however, that the use of currently measured conditions and trends serve to lay a foundation for forecasting future changes in climate and hydrology, but it also requires at the same time to develop new models more adapted to the natural conditions of this region.</w:t>
      </w:r>
    </w:p>
    <w:p w:rsidR="00EF5A57" w:rsidRPr="00EF5A57" w:rsidRDefault="00EF5A57" w:rsidP="00EF5A57">
      <w:pPr>
        <w:widowControl/>
        <w:adjustRightInd/>
        <w:spacing w:line="240" w:lineRule="auto"/>
        <w:ind w:firstLine="1304"/>
        <w:textAlignment w:val="auto"/>
        <w:rPr>
          <w:rFonts w:eastAsia="Calibri"/>
          <w:i/>
          <w:iCs/>
          <w:noProof/>
          <w:sz w:val="28"/>
          <w:szCs w:val="28"/>
          <w:lang w:eastAsia="en-GB"/>
        </w:rPr>
      </w:pPr>
      <w:r w:rsidRPr="00EF5A57">
        <w:rPr>
          <w:rFonts w:eastAsia="Calibri"/>
          <w:sz w:val="28"/>
          <w:szCs w:val="28"/>
          <w:lang w:eastAsia="en-US"/>
        </w:rPr>
        <w:t>[29]</w:t>
      </w:r>
      <w:r w:rsidRPr="00EF5A57">
        <w:rPr>
          <w:rFonts w:eastAsia="Calibri"/>
          <w:noProof/>
          <w:sz w:val="28"/>
          <w:szCs w:val="28"/>
          <w:lang w:eastAsia="en-GB"/>
        </w:rPr>
        <w:t xml:space="preserve"> employed standard statistical techniques to analyze data available from the National Climate Data Center (NCDC), Global Climatic Perspective System (GCP), and stream flow records obtained from Turkey through the UNESCO for the period 1938-1972. The end of this record marks the initiation of the implementation of the Greater Anatolia Project (GAP) when the publication of Turkish hydrological data was stopped by the authorities. Other used data included a short </w:t>
      </w:r>
      <w:r w:rsidRPr="00EF5A57">
        <w:rPr>
          <w:rFonts w:eastAsia="Calibri"/>
          <w:noProof/>
          <w:sz w:val="28"/>
          <w:szCs w:val="28"/>
          <w:lang w:eastAsia="en-GB"/>
        </w:rPr>
        <w:lastRenderedPageBreak/>
        <w:t xml:space="preserve">record (1965-1972) of Tigris River stream flow in Baghdad. The results of this study confirmed that the stream flow of the Tigris and the Euphrates River are associated with the North Atlantic Oscillation (NAO) which governs the path of Atlantic mid-latitude storm track and precipitation in the eastern Mediterranean. As the sea level pressure over the North Atlantic oscillates seasonally a sea level pursuer index (NAOSLP) can be calculated as a simple difference between the normalized mean-variance at different locations, and it is used to indicate the signature of the (NAO) in these locations. This index was defined and developed by </w:t>
      </w:r>
      <w:r w:rsidRPr="00EF5A57">
        <w:rPr>
          <w:rFonts w:eastAsia="Calibri"/>
          <w:sz w:val="28"/>
          <w:szCs w:val="28"/>
          <w:lang w:eastAsia="en-US"/>
        </w:rPr>
        <w:t>[30, 31]</w:t>
      </w:r>
      <w:r w:rsidRPr="00EF5A57">
        <w:rPr>
          <w:rFonts w:eastAsia="Calibri"/>
          <w:noProof/>
          <w:sz w:val="28"/>
          <w:szCs w:val="28"/>
          <w:lang w:eastAsia="en-GB"/>
        </w:rPr>
        <w:t xml:space="preserve">. Results of </w:t>
      </w:r>
      <w:r w:rsidRPr="00EF5A57">
        <w:rPr>
          <w:rFonts w:eastAsia="Calibri"/>
          <w:sz w:val="28"/>
          <w:szCs w:val="28"/>
          <w:lang w:eastAsia="en-US"/>
        </w:rPr>
        <w:t>[29]</w:t>
      </w:r>
      <w:r w:rsidRPr="00EF5A57">
        <w:rPr>
          <w:rFonts w:eastAsia="Calibri"/>
          <w:noProof/>
          <w:sz w:val="28"/>
          <w:szCs w:val="28"/>
          <w:lang w:eastAsia="en-GB"/>
        </w:rPr>
        <w:t xml:space="preserve"> study showed that Euphrates and Tigris flow integrate regional precipitation variations over the headwater region in Turkey in the months from December to April (DFMA) which is clearly subjected to (NAOSLP) as shown in figures (14 and15). In figure (14) a strong relationship was indicated between the monthly stream flows of the Euphrates River measured in Keban (35 year mean values) and the monthly averages for the three lowest (NAO) years (1940, 1963, 1969) and monthly averages of the three heights years (1945, 1949, 1961). Similar relationship would also apply for the Tigris River due to the similar conditions. In figure (15), a strong correlation is observed between the (NAOslp) and the Turkish winter temperature index, Turkish winter precipitation index, and the Euphrates average stream flow for the winter months (DJFMA) over the years of record (1930-2000. Again similar correlation would appear for the Tigris River flow.</w:t>
      </w:r>
      <w:r w:rsidRPr="00EF5A57">
        <w:rPr>
          <w:rFonts w:eastAsia="Calibri"/>
          <w:i/>
          <w:iCs/>
          <w:noProof/>
          <w:sz w:val="28"/>
          <w:szCs w:val="28"/>
          <w:lang w:eastAsia="en-GB"/>
        </w:rPr>
        <w:t xml:space="preserve"> </w:t>
      </w:r>
    </w:p>
    <w:p w:rsidR="00EF5A57" w:rsidRPr="00EF5A57" w:rsidRDefault="00EF5A57" w:rsidP="00EF5A57">
      <w:pPr>
        <w:widowControl/>
        <w:adjustRightInd/>
        <w:spacing w:line="240" w:lineRule="auto"/>
        <w:ind w:firstLine="1304"/>
        <w:textAlignment w:val="auto"/>
        <w:rPr>
          <w:rFonts w:eastAsia="Calibri"/>
          <w:i/>
          <w:iCs/>
          <w:noProof/>
          <w:sz w:val="28"/>
          <w:szCs w:val="28"/>
          <w:lang w:eastAsia="en-GB"/>
        </w:rPr>
      </w:pPr>
      <w:r w:rsidRPr="00EF5A57">
        <w:rPr>
          <w:rFonts w:eastAsia="Calibri"/>
          <w:noProof/>
          <w:sz w:val="28"/>
          <w:szCs w:val="28"/>
          <w:lang w:eastAsia="en-GB"/>
        </w:rPr>
        <w:t>These results support the proposition that among other factors the variations of (NAO) as a result of Global Climate Change has its bearing on the climate changes expected in the (ETB), and so future studies  on the impacts of global warming on the two river basins must not neglect the (NAO) variation effects. Other things to be considered are the exact geographical location within the basin of the area to be studied and its topographical features.</w:t>
      </w:r>
    </w:p>
    <w:p w:rsidR="00EF5A57" w:rsidRPr="00EF5A57" w:rsidRDefault="00EF5A57" w:rsidP="00EF5A57">
      <w:pPr>
        <w:widowControl/>
        <w:adjustRightInd/>
        <w:spacing w:line="240" w:lineRule="auto"/>
        <w:jc w:val="center"/>
        <w:textAlignment w:val="auto"/>
        <w:rPr>
          <w:rFonts w:eastAsia="Calibri"/>
          <w:noProof/>
          <w:sz w:val="28"/>
          <w:szCs w:val="28"/>
          <w:lang w:eastAsia="en-GB"/>
        </w:rPr>
      </w:pPr>
      <w:r w:rsidRPr="00EF5A57">
        <w:rPr>
          <w:rFonts w:eastAsia="Calibri"/>
          <w:noProof/>
          <w:sz w:val="17"/>
          <w:szCs w:val="17"/>
          <w:lang w:eastAsia="en-US"/>
        </w:rPr>
        <w:lastRenderedPageBreak/>
        <w:drawing>
          <wp:inline distT="0" distB="0" distL="0" distR="0" wp14:anchorId="00CAFFAB" wp14:editId="06BEEF55">
            <wp:extent cx="2810510" cy="1629520"/>
            <wp:effectExtent l="0" t="0" r="8890" b="8890"/>
            <wp:docPr id="16" name="Picture 2" descr="C:\Users\HP-PC\Downloads\Cullen_et_al-2000-International_Journal_of_Climatology-10-10-page-00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284779" name="Picture 2" descr="C:\Users\HP-PC\Downloads\Cullen_et_al-2000-International_Journal_of_Climatology-10-10-page-001 (1).jpg"/>
                    <pic:cNvPicPr>
                      <a:picLocks noChangeAspect="1" noChangeArrowheads="1"/>
                    </pic:cNvPicPr>
                  </pic:nvPicPr>
                  <pic:blipFill>
                    <a:blip r:embed="rId21" cstate="print"/>
                    <a:stretch>
                      <a:fillRect/>
                    </a:stretch>
                  </pic:blipFill>
                  <pic:spPr bwMode="auto">
                    <a:xfrm>
                      <a:off x="0" y="0"/>
                      <a:ext cx="2877756" cy="1668509"/>
                    </a:xfrm>
                    <a:prstGeom prst="rect">
                      <a:avLst/>
                    </a:prstGeom>
                    <a:noFill/>
                    <a:ln w="9525">
                      <a:noFill/>
                      <a:miter lim="800000"/>
                      <a:headEnd/>
                      <a:tailEnd/>
                    </a:ln>
                  </pic:spPr>
                </pic:pic>
              </a:graphicData>
            </a:graphic>
          </wp:inline>
        </w:drawing>
      </w:r>
    </w:p>
    <w:p w:rsidR="00EF5A57" w:rsidRPr="00EF5A57" w:rsidRDefault="00EF5A57" w:rsidP="00EF5A57">
      <w:pPr>
        <w:widowControl/>
        <w:adjustRightInd/>
        <w:spacing w:line="240" w:lineRule="auto"/>
        <w:jc w:val="center"/>
        <w:textAlignment w:val="auto"/>
        <w:rPr>
          <w:rFonts w:eastAsia="Calibri"/>
          <w:noProof/>
          <w:sz w:val="28"/>
          <w:szCs w:val="28"/>
          <w:lang w:eastAsia="en-GB"/>
        </w:rPr>
      </w:pPr>
      <w:r w:rsidRPr="00EF5A57">
        <w:rPr>
          <w:rFonts w:eastAsia="Calibri"/>
          <w:noProof/>
          <w:sz w:val="28"/>
          <w:szCs w:val="28"/>
          <w:lang w:eastAsia="en-GB"/>
        </w:rPr>
        <w:t>Fig 14: Monthly Euphrates River stream flow (solid line) measured at Keban, Turkey (35-year mean). Monthly averages for the three lowest NAO years (1940, 1963 and 1969; dashed line with filled circles, 2s S.D. shown), and monthly averages of the highest years (1945, 1949 and 1961; dashed line with triangles, 2s S.D. shown).</w:t>
      </w:r>
    </w:p>
    <w:p w:rsidR="00EF5A57" w:rsidRPr="00EF5A57" w:rsidRDefault="00EF5A57" w:rsidP="00EF5A57">
      <w:pPr>
        <w:widowControl/>
        <w:autoSpaceDE w:val="0"/>
        <w:autoSpaceDN w:val="0"/>
        <w:spacing w:line="240" w:lineRule="auto"/>
        <w:jc w:val="center"/>
        <w:textAlignment w:val="auto"/>
        <w:rPr>
          <w:rFonts w:eastAsia="Calibri"/>
          <w:szCs w:val="24"/>
          <w:lang w:eastAsia="en-US"/>
        </w:rPr>
      </w:pPr>
      <w:r w:rsidRPr="00EF5A57">
        <w:rPr>
          <w:rFonts w:eastAsia="Calibri"/>
          <w:noProof/>
          <w:sz w:val="17"/>
          <w:szCs w:val="17"/>
          <w:lang w:eastAsia="en-US"/>
        </w:rPr>
        <w:drawing>
          <wp:inline distT="0" distB="0" distL="0" distR="0" wp14:anchorId="65F049CC" wp14:editId="4E4C0C1C">
            <wp:extent cx="3512002" cy="3848178"/>
            <wp:effectExtent l="0" t="0" r="0" b="0"/>
            <wp:docPr id="17" name="Picture 1" descr="C:\Users\HP-PC\Downloads\Cullen_et_al-2000-International_Journal_of_Climatology-9-9-p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849525" name="Picture 1" descr="C:\Users\HP-PC\Downloads\Cullen_et_al-2000-International_Journal_of_Climatology-9-9-page-001.jpg"/>
                    <pic:cNvPicPr>
                      <a:picLocks noChangeAspect="1" noChangeArrowheads="1"/>
                    </pic:cNvPicPr>
                  </pic:nvPicPr>
                  <pic:blipFill>
                    <a:blip r:embed="rId22" cstate="print"/>
                    <a:stretch>
                      <a:fillRect/>
                    </a:stretch>
                  </pic:blipFill>
                  <pic:spPr bwMode="auto">
                    <a:xfrm>
                      <a:off x="0" y="0"/>
                      <a:ext cx="3537657" cy="3876289"/>
                    </a:xfrm>
                    <a:prstGeom prst="rect">
                      <a:avLst/>
                    </a:prstGeom>
                    <a:noFill/>
                    <a:ln w="9525">
                      <a:noFill/>
                      <a:miter lim="800000"/>
                      <a:headEnd/>
                      <a:tailEnd/>
                    </a:ln>
                  </pic:spPr>
                </pic:pic>
              </a:graphicData>
            </a:graphic>
          </wp:inline>
        </w:drawing>
      </w:r>
    </w:p>
    <w:p w:rsidR="00EF5A57" w:rsidRDefault="00EF5A57" w:rsidP="00EF5A57">
      <w:pPr>
        <w:widowControl/>
        <w:adjustRightInd/>
        <w:spacing w:line="240" w:lineRule="auto"/>
        <w:jc w:val="center"/>
        <w:textAlignment w:val="auto"/>
        <w:rPr>
          <w:rFonts w:eastAsia="Calibri"/>
          <w:noProof/>
          <w:sz w:val="28"/>
          <w:szCs w:val="28"/>
          <w:lang w:eastAsia="en-GB"/>
        </w:rPr>
      </w:pPr>
      <w:r w:rsidRPr="00EF5A57">
        <w:rPr>
          <w:rFonts w:eastAsia="Calibri"/>
          <w:noProof/>
          <w:sz w:val="28"/>
          <w:szCs w:val="28"/>
          <w:lang w:eastAsia="en-GB"/>
        </w:rPr>
        <w:t>Fig.15: Correlation between the NAOSLP index and (a) Turkish winter temperature index, (b) Turkish winter precipitation index and (c) DJFMA average stream flow of the Euphrates (filled circles) and the Tigris Rivers (open circles) (note: the NAOSLP index has been multiplied by -1).</w:t>
      </w:r>
    </w:p>
    <w:p w:rsidR="00EF5A57" w:rsidRPr="00EF5A57" w:rsidRDefault="00EF5A57" w:rsidP="00EF5A57">
      <w:pPr>
        <w:spacing w:after="240" w:line="240" w:lineRule="auto"/>
        <w:rPr>
          <w:b/>
          <w:color w:val="000000"/>
          <w:sz w:val="30"/>
          <w:szCs w:val="30"/>
        </w:rPr>
      </w:pPr>
      <w:r>
        <w:rPr>
          <w:b/>
          <w:sz w:val="30"/>
          <w:szCs w:val="30"/>
        </w:rPr>
        <w:lastRenderedPageBreak/>
        <w:t>4</w:t>
      </w:r>
      <w:r w:rsidRPr="009A6DA1">
        <w:rPr>
          <w:b/>
          <w:color w:val="000000"/>
          <w:sz w:val="30"/>
          <w:szCs w:val="30"/>
        </w:rPr>
        <w:t xml:space="preserve"> </w:t>
      </w:r>
      <w:r>
        <w:rPr>
          <w:b/>
          <w:color w:val="000000"/>
          <w:sz w:val="30"/>
          <w:szCs w:val="30"/>
        </w:rPr>
        <w:t xml:space="preserve"> </w:t>
      </w:r>
      <w:r w:rsidRPr="009A6DA1">
        <w:rPr>
          <w:b/>
          <w:color w:val="000000"/>
          <w:sz w:val="30"/>
          <w:szCs w:val="30"/>
        </w:rPr>
        <w:t xml:space="preserve"> </w:t>
      </w:r>
      <w:r w:rsidRPr="00EF5A57">
        <w:rPr>
          <w:b/>
          <w:color w:val="000000"/>
          <w:sz w:val="30"/>
          <w:szCs w:val="30"/>
        </w:rPr>
        <w:t>Climate Change Modeling Study on the Euphrates and Tigris Basins (ETB).</w:t>
      </w:r>
    </w:p>
    <w:p w:rsidR="00EF5A57" w:rsidRPr="005B1A8D" w:rsidRDefault="00EF5A57" w:rsidP="00EF5A57">
      <w:pPr>
        <w:spacing w:line="240" w:lineRule="auto"/>
        <w:ind w:firstLine="1304"/>
        <w:rPr>
          <w:rFonts w:asciiTheme="majorBidi" w:hAnsiTheme="majorBidi" w:cstheme="majorBidi"/>
          <w:noProof/>
          <w:sz w:val="28"/>
          <w:szCs w:val="28"/>
          <w:lang w:eastAsia="en-GB"/>
        </w:rPr>
      </w:pPr>
      <w:r w:rsidRPr="005B1A8D">
        <w:rPr>
          <w:rFonts w:asciiTheme="majorBidi" w:hAnsiTheme="majorBidi" w:cstheme="majorBidi"/>
          <w:noProof/>
          <w:sz w:val="28"/>
          <w:szCs w:val="28"/>
          <w:lang w:eastAsia="en-GB"/>
        </w:rPr>
        <w:t xml:space="preserve">The Tigris and Euphrates Rivers basin was the cradle of many ancient civilizations for thousands of years. Irrigated agriculture developed here which had allowed the development of Sumerian, Acadian, Babylonian and other ancient cultures. This area was fertile and prosperous, and so it was described by the Greek historian Herodotus (484-425) B.C, who gave it the name (Mesopotamia); the land between the two rivers. At that time these world earliest civilizations had already extensive network of canals and diversion dams and, a 70-km aqueduct was in place by 690 B.C. </w:t>
      </w:r>
      <w:r w:rsidRPr="005B1A8D">
        <w:rPr>
          <w:rFonts w:asciiTheme="majorBidi" w:hAnsiTheme="majorBidi" w:cstheme="majorBidi"/>
          <w:sz w:val="28"/>
          <w:szCs w:val="28"/>
        </w:rPr>
        <w:t>[32]</w:t>
      </w:r>
      <w:r w:rsidRPr="005B1A8D">
        <w:rPr>
          <w:rFonts w:asciiTheme="majorBidi" w:hAnsiTheme="majorBidi" w:cstheme="majorBidi"/>
          <w:noProof/>
          <w:sz w:val="28"/>
          <w:szCs w:val="28"/>
          <w:lang w:eastAsia="en-GB"/>
        </w:rPr>
        <w:t xml:space="preserve">. </w:t>
      </w:r>
    </w:p>
    <w:p w:rsidR="00EF5A57" w:rsidRPr="005B1A8D" w:rsidRDefault="00EF5A57" w:rsidP="00EF5A57">
      <w:pPr>
        <w:spacing w:line="240" w:lineRule="auto"/>
        <w:ind w:firstLine="1304"/>
        <w:rPr>
          <w:rFonts w:asciiTheme="majorBidi" w:hAnsiTheme="majorBidi" w:cstheme="majorBidi"/>
          <w:noProof/>
          <w:sz w:val="28"/>
          <w:szCs w:val="28"/>
          <w:lang w:eastAsia="en-GB"/>
        </w:rPr>
      </w:pPr>
      <w:r w:rsidRPr="005B1A8D">
        <w:rPr>
          <w:rFonts w:asciiTheme="majorBidi" w:hAnsiTheme="majorBidi" w:cstheme="majorBidi"/>
          <w:noProof/>
          <w:sz w:val="28"/>
          <w:szCs w:val="28"/>
          <w:lang w:eastAsia="en-GB"/>
        </w:rPr>
        <w:t xml:space="preserve">Archaeologists believe that the high time in the development of the irrigation system occurred between about 500 A.D. at the climax of the Sassanid period and the fall of Baghdad at the hands of Mongols in 1258 AD.; ending the Abbasid Caliphate. A network of irrigation canals permitted widespread cultivation that made the river basin into a regional granary </w:t>
      </w:r>
      <w:r w:rsidRPr="005B1A8D">
        <w:rPr>
          <w:rFonts w:asciiTheme="majorBidi" w:hAnsiTheme="majorBidi" w:cstheme="majorBidi"/>
          <w:sz w:val="28"/>
          <w:szCs w:val="28"/>
        </w:rPr>
        <w:t>[33]</w:t>
      </w:r>
      <w:r w:rsidRPr="005B1A8D">
        <w:rPr>
          <w:rFonts w:asciiTheme="majorBidi" w:hAnsiTheme="majorBidi" w:cstheme="majorBidi"/>
          <w:noProof/>
          <w:sz w:val="28"/>
          <w:szCs w:val="28"/>
          <w:lang w:eastAsia="en-GB"/>
        </w:rPr>
        <w:t xml:space="preserve">. Successive invasions and neglect led to the deterioration and partial abandonment of the irrigation and drainage system. Not until the twentieth century did Iraq make a concerted effort to restore the irrigation and drainage network and to control seasonal flooding </w:t>
      </w:r>
      <w:r w:rsidRPr="005B1A8D">
        <w:rPr>
          <w:rFonts w:asciiTheme="majorBidi" w:hAnsiTheme="majorBidi" w:cstheme="majorBidi"/>
          <w:sz w:val="28"/>
          <w:szCs w:val="28"/>
        </w:rPr>
        <w:t>[33]</w:t>
      </w:r>
      <w:r w:rsidRPr="005B1A8D">
        <w:rPr>
          <w:rFonts w:asciiTheme="majorBidi" w:hAnsiTheme="majorBidi" w:cstheme="majorBidi"/>
          <w:noProof/>
          <w:sz w:val="28"/>
          <w:szCs w:val="28"/>
          <w:lang w:eastAsia="en-GB"/>
        </w:rPr>
        <w:t xml:space="preserve">. In 2006, about 25 percent of Iraq was irrigated by surface water </w:t>
      </w:r>
      <w:r w:rsidRPr="005B1A8D">
        <w:rPr>
          <w:rFonts w:asciiTheme="majorBidi" w:hAnsiTheme="majorBidi" w:cstheme="majorBidi"/>
          <w:sz w:val="28"/>
          <w:szCs w:val="28"/>
        </w:rPr>
        <w:t>[32]</w:t>
      </w:r>
      <w:r w:rsidRPr="005B1A8D">
        <w:rPr>
          <w:rFonts w:asciiTheme="majorBidi" w:hAnsiTheme="majorBidi" w:cstheme="majorBidi"/>
          <w:noProof/>
          <w:sz w:val="28"/>
          <w:szCs w:val="28"/>
          <w:lang w:eastAsia="en-GB"/>
        </w:rPr>
        <w:t xml:space="preserve">. </w:t>
      </w:r>
    </w:p>
    <w:p w:rsidR="00EF5A57" w:rsidRPr="005B1A8D" w:rsidRDefault="00EF5A57" w:rsidP="00EF5A57">
      <w:pPr>
        <w:spacing w:line="240" w:lineRule="auto"/>
        <w:ind w:firstLine="1304"/>
        <w:rPr>
          <w:rFonts w:asciiTheme="majorBidi" w:hAnsiTheme="majorBidi" w:cstheme="majorBidi"/>
          <w:noProof/>
          <w:sz w:val="28"/>
          <w:szCs w:val="28"/>
          <w:lang w:eastAsia="en-GB"/>
        </w:rPr>
      </w:pPr>
      <w:r w:rsidRPr="005B1A8D">
        <w:rPr>
          <w:rFonts w:asciiTheme="majorBidi" w:hAnsiTheme="majorBidi" w:cstheme="majorBidi"/>
          <w:noProof/>
          <w:sz w:val="28"/>
          <w:szCs w:val="28"/>
          <w:lang w:eastAsia="en-GB"/>
        </w:rPr>
        <w:t xml:space="preserve">About half of Iraq's total cultivated area is rain-fed in the northeastern plains and mountain valleys, where sufficient rain falls to sustain agriculture via surface and groundwater use. The remainder of the cultivated land is in the valleys of the Euphrates and Tigris Rivers, which in Iraq receive scant rainfall and rely instead on irrigation water diverted from the rivers. Both rivers are fed by the melting of snowpack and rainfall in southeastern Turkey and in northwestern Iran and northeast of Iraq. The rivers' discharge peaks in March and in May, too late for winter crops and too early for summer crops. The flow of the rivers varies considerably every year and  destructive flooding is not uncommon, and conversely, years of low flow make irrigation and agriculture difficult regime requires an understanding of climate and environmental conditions of the entire system that extends from Turkey in the headwaters of both rivers, to Syria and Saudi Arabia in the </w:t>
      </w:r>
      <w:r w:rsidRPr="005B1A8D">
        <w:rPr>
          <w:rFonts w:asciiTheme="majorBidi" w:hAnsiTheme="majorBidi" w:cstheme="majorBidi"/>
          <w:noProof/>
          <w:sz w:val="28"/>
          <w:szCs w:val="28"/>
          <w:lang w:eastAsia="en-GB"/>
        </w:rPr>
        <w:lastRenderedPageBreak/>
        <w:t>Southwest, and Iran in the northeast and east where the Karkha and Karun Rivers originate and flow into shatt Al-Arab. Figure (16) shows the catchment area of the two rivers and their tributaries in these countries.</w:t>
      </w:r>
    </w:p>
    <w:p w:rsidR="00EF5A57" w:rsidRPr="005B1A8D" w:rsidRDefault="00EF5A57" w:rsidP="00EF5A57">
      <w:pPr>
        <w:spacing w:line="240" w:lineRule="auto"/>
        <w:ind w:firstLine="1304"/>
        <w:rPr>
          <w:rFonts w:asciiTheme="majorBidi" w:hAnsiTheme="majorBidi" w:cstheme="majorBidi"/>
          <w:noProof/>
          <w:sz w:val="28"/>
          <w:szCs w:val="28"/>
          <w:lang w:eastAsia="en-GB"/>
        </w:rPr>
      </w:pPr>
      <w:r w:rsidRPr="005B1A8D">
        <w:rPr>
          <w:rFonts w:asciiTheme="majorBidi" w:hAnsiTheme="majorBidi" w:cstheme="majorBidi"/>
          <w:noProof/>
          <w:sz w:val="28"/>
          <w:szCs w:val="28"/>
          <w:lang w:eastAsia="en-GB"/>
        </w:rPr>
        <w:t>The Tigris and Euphrates sub-basins are shown in figure (17).The majority of water that flows through the Tigris and Euphrates River basins originates outside the borders of Iraq as explained in 2.3. Therefore, an understanding of climate change impacts on the river's regime requires an understanding of climate and environmental conditions of the entire system that extends from Turkey in the headwaters of both rivers, to Syria and Saudi Arabia in the southwest, and Iran in the northeast and east where the Karkha and Karun Rivers flow into shatt Al-Arab.</w:t>
      </w:r>
    </w:p>
    <w:p w:rsidR="00EF5A57" w:rsidRPr="005B1A8D" w:rsidRDefault="00EF5A57" w:rsidP="00EF5A57">
      <w:pPr>
        <w:spacing w:line="240" w:lineRule="auto"/>
        <w:jc w:val="center"/>
        <w:rPr>
          <w:rFonts w:asciiTheme="majorBidi" w:hAnsiTheme="majorBidi" w:cstheme="majorBidi"/>
          <w:noProof/>
          <w:sz w:val="28"/>
          <w:szCs w:val="28"/>
          <w:lang w:eastAsia="en-GB"/>
        </w:rPr>
      </w:pPr>
      <w:r w:rsidRPr="005B1A8D">
        <w:rPr>
          <w:rFonts w:asciiTheme="majorBidi" w:hAnsiTheme="majorBidi" w:cstheme="majorBidi"/>
          <w:noProof/>
          <w:rtl/>
          <w:lang w:eastAsia="en-US"/>
        </w:rPr>
        <w:drawing>
          <wp:inline distT="0" distB="0" distL="0" distR="0" wp14:anchorId="15C190F3" wp14:editId="3DE2655D">
            <wp:extent cx="3774543" cy="3642360"/>
            <wp:effectExtent l="0" t="0" r="0" b="0"/>
            <wp:docPr id="22" name="Picture 1" descr="C:\Users\HP-PC\Downloads\Flint_water-balance-model-tigris-euphrates_2011-23-23 (1)-p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765383" name="Picture 1" descr="C:\Users\HP-PC\Downloads\Flint_water-balance-model-tigris-euphrates_2011-23-23 (1)-page-001.jpg"/>
                    <pic:cNvPicPr>
                      <a:picLocks noChangeAspect="1" noChangeArrowheads="1"/>
                    </pic:cNvPicPr>
                  </pic:nvPicPr>
                  <pic:blipFill>
                    <a:blip r:embed="rId23" cstate="print"/>
                    <a:stretch>
                      <a:fillRect/>
                    </a:stretch>
                  </pic:blipFill>
                  <pic:spPr bwMode="auto">
                    <a:xfrm>
                      <a:off x="0" y="0"/>
                      <a:ext cx="3776498" cy="3644247"/>
                    </a:xfrm>
                    <a:prstGeom prst="rect">
                      <a:avLst/>
                    </a:prstGeom>
                    <a:noFill/>
                    <a:ln w="9525">
                      <a:noFill/>
                      <a:miter lim="800000"/>
                      <a:headEnd/>
                      <a:tailEnd/>
                    </a:ln>
                  </pic:spPr>
                </pic:pic>
              </a:graphicData>
            </a:graphic>
          </wp:inline>
        </w:drawing>
      </w:r>
    </w:p>
    <w:p w:rsidR="00EF5A57" w:rsidRPr="00EF5A57" w:rsidRDefault="00EF5A57" w:rsidP="00EF5A57">
      <w:pPr>
        <w:bidi/>
        <w:spacing w:line="240" w:lineRule="auto"/>
        <w:jc w:val="center"/>
        <w:rPr>
          <w:rFonts w:asciiTheme="majorBidi" w:hAnsiTheme="majorBidi" w:cstheme="majorBidi"/>
          <w:noProof/>
          <w:sz w:val="28"/>
          <w:szCs w:val="28"/>
          <w:lang w:eastAsia="en-GB"/>
        </w:rPr>
      </w:pPr>
      <w:r w:rsidRPr="005B1A8D">
        <w:rPr>
          <w:rFonts w:asciiTheme="majorBidi" w:hAnsiTheme="majorBidi" w:cstheme="majorBidi"/>
          <w:i/>
          <w:iCs/>
          <w:noProof/>
          <w:lang w:val="en-GB" w:eastAsia="en-GB"/>
        </w:rPr>
        <w:t>F</w:t>
      </w:r>
      <w:r w:rsidRPr="00EF5A57">
        <w:rPr>
          <w:rFonts w:asciiTheme="majorBidi" w:hAnsiTheme="majorBidi" w:cstheme="majorBidi"/>
          <w:noProof/>
          <w:sz w:val="28"/>
          <w:szCs w:val="28"/>
          <w:lang w:eastAsia="en-GB"/>
        </w:rPr>
        <w:t>ig. 16: Tigris and Euphrates River catchment area (</w:t>
      </w:r>
      <w:r w:rsidRPr="005B1A8D">
        <w:rPr>
          <w:rFonts w:asciiTheme="majorBidi" w:hAnsiTheme="majorBidi" w:cstheme="majorBidi"/>
          <w:noProof/>
          <w:sz w:val="28"/>
          <w:szCs w:val="28"/>
          <w:lang w:eastAsia="en-GB"/>
        </w:rPr>
        <w:t>[34]</w:t>
      </w:r>
      <w:r w:rsidRPr="00EF5A57">
        <w:rPr>
          <w:rFonts w:asciiTheme="majorBidi" w:hAnsiTheme="majorBidi" w:cstheme="majorBidi"/>
          <w:noProof/>
          <w:sz w:val="28"/>
          <w:szCs w:val="28"/>
          <w:lang w:eastAsia="en-GB"/>
        </w:rPr>
        <w:t>).</w:t>
      </w:r>
    </w:p>
    <w:p w:rsidR="00EF5A57" w:rsidRPr="005B1A8D" w:rsidRDefault="00EF5A57" w:rsidP="00EF5A57">
      <w:pPr>
        <w:bidi/>
        <w:spacing w:line="240" w:lineRule="auto"/>
        <w:jc w:val="center"/>
        <w:rPr>
          <w:rFonts w:asciiTheme="majorBidi" w:hAnsiTheme="majorBidi" w:cstheme="majorBidi"/>
          <w:sz w:val="28"/>
          <w:szCs w:val="28"/>
        </w:rPr>
      </w:pPr>
      <w:r w:rsidRPr="005B1A8D">
        <w:rPr>
          <w:rFonts w:asciiTheme="majorBidi" w:hAnsiTheme="majorBidi" w:cstheme="majorBidi"/>
          <w:noProof/>
          <w:rtl/>
          <w:lang w:eastAsia="en-US"/>
        </w:rPr>
        <w:lastRenderedPageBreak/>
        <w:drawing>
          <wp:inline distT="0" distB="0" distL="0" distR="0" wp14:anchorId="31576545" wp14:editId="00D4E2A9">
            <wp:extent cx="3453130" cy="3232199"/>
            <wp:effectExtent l="0" t="0" r="0" b="6350"/>
            <wp:docPr id="23" name="Picture 2" descr="C:\Users\HP-PC\Downloads\Flint_water-balance-model-tigris-euphrates_2011-24-24-p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417046" name="Picture 2" descr="C:\Users\HP-PC\Downloads\Flint_water-balance-model-tigris-euphrates_2011-24-24-page-001.jpg"/>
                    <pic:cNvPicPr>
                      <a:picLocks noChangeAspect="1" noChangeArrowheads="1"/>
                    </pic:cNvPicPr>
                  </pic:nvPicPr>
                  <pic:blipFill>
                    <a:blip r:embed="rId24" cstate="print"/>
                    <a:stretch>
                      <a:fillRect/>
                    </a:stretch>
                  </pic:blipFill>
                  <pic:spPr bwMode="auto">
                    <a:xfrm>
                      <a:off x="0" y="0"/>
                      <a:ext cx="3456136" cy="3235013"/>
                    </a:xfrm>
                    <a:prstGeom prst="rect">
                      <a:avLst/>
                    </a:prstGeom>
                    <a:noFill/>
                    <a:ln w="9525">
                      <a:noFill/>
                      <a:miter lim="800000"/>
                      <a:headEnd/>
                      <a:tailEnd/>
                    </a:ln>
                  </pic:spPr>
                </pic:pic>
              </a:graphicData>
            </a:graphic>
          </wp:inline>
        </w:drawing>
      </w:r>
    </w:p>
    <w:p w:rsidR="00EF5A57" w:rsidRPr="00EF5A57" w:rsidRDefault="00EF5A57" w:rsidP="00EF5A57">
      <w:pPr>
        <w:bidi/>
        <w:spacing w:line="240" w:lineRule="auto"/>
        <w:jc w:val="center"/>
        <w:rPr>
          <w:rFonts w:asciiTheme="majorBidi" w:hAnsiTheme="majorBidi" w:cstheme="majorBidi"/>
          <w:noProof/>
          <w:sz w:val="28"/>
          <w:szCs w:val="28"/>
          <w:lang w:eastAsia="en-GB"/>
        </w:rPr>
      </w:pPr>
      <w:r w:rsidRPr="00EF5A57">
        <w:rPr>
          <w:rFonts w:asciiTheme="majorBidi" w:hAnsiTheme="majorBidi" w:cstheme="majorBidi"/>
          <w:noProof/>
          <w:sz w:val="28"/>
          <w:szCs w:val="28"/>
          <w:lang w:eastAsia="en-GB"/>
        </w:rPr>
        <w:t>Fig, 17: Tigris and Euphrates River Sub-basin (</w:t>
      </w:r>
      <w:r w:rsidRPr="005B1A8D">
        <w:rPr>
          <w:rFonts w:asciiTheme="majorBidi" w:hAnsiTheme="majorBidi" w:cstheme="majorBidi"/>
          <w:noProof/>
          <w:sz w:val="28"/>
          <w:szCs w:val="28"/>
          <w:lang w:eastAsia="en-GB"/>
        </w:rPr>
        <w:t>[34]</w:t>
      </w:r>
      <w:r w:rsidRPr="00EF5A57">
        <w:rPr>
          <w:rFonts w:asciiTheme="majorBidi" w:hAnsiTheme="majorBidi" w:cstheme="majorBidi"/>
          <w:noProof/>
          <w:sz w:val="28"/>
          <w:szCs w:val="28"/>
          <w:lang w:eastAsia="en-GB"/>
        </w:rPr>
        <w:t>).</w:t>
      </w:r>
    </w:p>
    <w:p w:rsidR="00EF5A57" w:rsidRDefault="00EF5A57" w:rsidP="00EF5A57">
      <w:pPr>
        <w:spacing w:line="240" w:lineRule="auto"/>
        <w:ind w:firstLine="1304"/>
        <w:rPr>
          <w:rFonts w:asciiTheme="majorBidi" w:hAnsiTheme="majorBidi" w:cstheme="majorBidi"/>
          <w:noProof/>
          <w:sz w:val="28"/>
          <w:szCs w:val="28"/>
          <w:lang w:eastAsia="en-GB"/>
        </w:rPr>
      </w:pPr>
    </w:p>
    <w:p w:rsidR="00EF5A57" w:rsidRPr="005B1A8D" w:rsidRDefault="00EF5A57" w:rsidP="00EF5A57">
      <w:pPr>
        <w:spacing w:line="240" w:lineRule="auto"/>
        <w:ind w:firstLine="1304"/>
        <w:rPr>
          <w:rFonts w:asciiTheme="majorBidi" w:hAnsiTheme="majorBidi" w:cstheme="majorBidi"/>
          <w:noProof/>
          <w:sz w:val="28"/>
          <w:szCs w:val="28"/>
          <w:lang w:eastAsia="en-GB"/>
        </w:rPr>
      </w:pPr>
      <w:r w:rsidRPr="005B1A8D">
        <w:rPr>
          <w:rFonts w:asciiTheme="majorBidi" w:hAnsiTheme="majorBidi" w:cstheme="majorBidi"/>
          <w:noProof/>
          <w:sz w:val="28"/>
          <w:szCs w:val="28"/>
          <w:lang w:eastAsia="en-GB"/>
        </w:rPr>
        <w:t>Although much of the waterways flowing into Turkey, Syria, and Iran are dammed at the present, an understanding of the natural, unimpaired water balance for the extent of the Tigris-Euphrates River systems (TERS) serves to provide an understanding of the long-term impacts of climate. This understanding also provides recognition of recent changes throughout the system that may highlight locations which are more or less sensitive to changes in climate and help to lay a foundation for long-term plans for water-resource management.</w:t>
      </w:r>
    </w:p>
    <w:p w:rsidR="00EF5A57" w:rsidRPr="005B1A8D" w:rsidRDefault="00EF5A57" w:rsidP="00EF5A57">
      <w:pPr>
        <w:spacing w:line="240" w:lineRule="auto"/>
        <w:ind w:firstLine="1304"/>
        <w:rPr>
          <w:rFonts w:asciiTheme="majorBidi" w:hAnsiTheme="majorBidi" w:cstheme="majorBidi"/>
          <w:noProof/>
          <w:sz w:val="28"/>
          <w:szCs w:val="28"/>
          <w:lang w:eastAsia="en-GB"/>
        </w:rPr>
      </w:pPr>
      <w:r w:rsidRPr="005B1A8D">
        <w:rPr>
          <w:rFonts w:asciiTheme="majorBidi" w:hAnsiTheme="majorBidi" w:cstheme="majorBidi"/>
          <w:noProof/>
          <w:sz w:val="28"/>
          <w:szCs w:val="28"/>
          <w:lang w:eastAsia="en-GB"/>
        </w:rPr>
        <w:t xml:space="preserve">Climate change resulting from global warming has influenced all the weather driving elements within the Tigris–Euphrates basins including temperatures, atmospheric pressure variations, rainfall intensities and distribution, and contributed to changes in annual streamflow volumes of the two rivers.Many studies have been performed to determine the climate change impacts on water availability in the Tigris-Euphrates Rivers Basin (ETB). According to a recent study by </w:t>
      </w:r>
      <w:r w:rsidRPr="005B1A8D">
        <w:rPr>
          <w:rFonts w:asciiTheme="majorBidi" w:hAnsiTheme="majorBidi" w:cstheme="majorBidi"/>
          <w:sz w:val="28"/>
          <w:szCs w:val="28"/>
        </w:rPr>
        <w:t>[35]</w:t>
      </w:r>
      <w:r w:rsidRPr="005B1A8D">
        <w:rPr>
          <w:rFonts w:asciiTheme="majorBidi" w:hAnsiTheme="majorBidi" w:cstheme="majorBidi"/>
          <w:noProof/>
          <w:sz w:val="28"/>
          <w:szCs w:val="28"/>
          <w:lang w:eastAsia="en-GB"/>
        </w:rPr>
        <w:t>, the ETB experienced substantial water loss between January 2003 and December 2009. This was based on measurements of (NASA's) Gravity and Climate Experiment (GRSA's) Satellites.</w:t>
      </w:r>
      <w:r w:rsidRPr="005B1A8D">
        <w:rPr>
          <w:rFonts w:asciiTheme="majorBidi" w:hAnsiTheme="majorBidi" w:cstheme="majorBidi"/>
          <w:sz w:val="28"/>
          <w:szCs w:val="28"/>
        </w:rPr>
        <w:t xml:space="preserve"> [21]</w:t>
      </w:r>
      <w:r w:rsidRPr="005B1A8D">
        <w:rPr>
          <w:rFonts w:asciiTheme="majorBidi" w:hAnsiTheme="majorBidi" w:cstheme="majorBidi"/>
          <w:noProof/>
          <w:sz w:val="28"/>
          <w:szCs w:val="28"/>
          <w:lang w:eastAsia="en-GB"/>
        </w:rPr>
        <w:t xml:space="preserve"> investigated the likely future effects of Climate Change </w:t>
      </w:r>
      <w:r w:rsidRPr="005B1A8D">
        <w:rPr>
          <w:rFonts w:asciiTheme="majorBidi" w:hAnsiTheme="majorBidi" w:cstheme="majorBidi"/>
          <w:noProof/>
          <w:sz w:val="28"/>
          <w:szCs w:val="28"/>
          <w:lang w:eastAsia="en-GB"/>
        </w:rPr>
        <w:lastRenderedPageBreak/>
        <w:t>on the water resources of the eastern Mediterranean and Middle East regions using a high resolution climate model forced by lateral boundary conditions from the HadCM3. Abbreviation for  a Hadley Model, version 3 which  is a coupled to atmosphere-ocean general circulation model (AOGCM) and developed at the Hadley Centre in the United Kingdom. It was one of the major models used in the IPCC third Assessment Report in 2001</w:t>
      </w:r>
      <w:r w:rsidRPr="005B1A8D">
        <w:rPr>
          <w:rFonts w:asciiTheme="majorBidi" w:hAnsiTheme="majorBidi" w:cstheme="majorBidi"/>
          <w:sz w:val="28"/>
          <w:szCs w:val="28"/>
        </w:rPr>
        <w:t xml:space="preserve"> [12]</w:t>
      </w:r>
      <w:r w:rsidRPr="005B1A8D">
        <w:rPr>
          <w:rFonts w:asciiTheme="majorBidi" w:hAnsiTheme="majorBidi" w:cstheme="majorBidi"/>
          <w:noProof/>
          <w:sz w:val="28"/>
          <w:szCs w:val="28"/>
          <w:lang w:eastAsia="en-GB"/>
        </w:rPr>
        <w:t>. In this study this model was driven by the SERES (AIB) scenario; and it was found that the average annual Euphrates- Tigris rivers discharges may decline by 9.5% between 2040 and 2069, with the greatest decline (12%) in Turkey and only (4%) in Iraq. They also projected further decrease in the two rivers to 2070-2099, however, the decrease would be &lt; 1%.</w:t>
      </w:r>
    </w:p>
    <w:p w:rsidR="00EF5A57" w:rsidRPr="005B1A8D" w:rsidRDefault="00EF5A57" w:rsidP="00EF5A57">
      <w:pPr>
        <w:spacing w:line="240" w:lineRule="auto"/>
        <w:ind w:firstLine="1304"/>
        <w:rPr>
          <w:rFonts w:asciiTheme="majorBidi" w:hAnsiTheme="majorBidi" w:cstheme="majorBidi"/>
          <w:noProof/>
          <w:sz w:val="28"/>
          <w:szCs w:val="28"/>
          <w:lang w:eastAsia="en-GB"/>
        </w:rPr>
      </w:pPr>
      <w:r w:rsidRPr="005B1A8D">
        <w:rPr>
          <w:rFonts w:asciiTheme="majorBidi" w:hAnsiTheme="majorBidi" w:cstheme="majorBidi"/>
          <w:sz w:val="28"/>
          <w:szCs w:val="28"/>
        </w:rPr>
        <w:t>[36]</w:t>
      </w:r>
      <w:r w:rsidRPr="005B1A8D">
        <w:rPr>
          <w:rFonts w:asciiTheme="majorBidi" w:hAnsiTheme="majorBidi" w:cstheme="majorBidi"/>
          <w:noProof/>
          <w:sz w:val="28"/>
          <w:szCs w:val="28"/>
          <w:lang w:eastAsia="en-GB"/>
        </w:rPr>
        <w:t xml:space="preserve"> applied both the hydrological model (HD) of the Max Plank Institute, developed by </w:t>
      </w:r>
      <w:r w:rsidRPr="005B1A8D">
        <w:rPr>
          <w:rFonts w:asciiTheme="majorBidi" w:hAnsiTheme="majorBidi" w:cstheme="majorBidi"/>
          <w:sz w:val="28"/>
          <w:szCs w:val="28"/>
        </w:rPr>
        <w:t xml:space="preserve"> [37,38]</w:t>
      </w:r>
      <w:r w:rsidRPr="005B1A8D">
        <w:rPr>
          <w:rFonts w:asciiTheme="majorBidi" w:hAnsiTheme="majorBidi" w:cstheme="majorBidi"/>
          <w:noProof/>
          <w:sz w:val="28"/>
          <w:szCs w:val="28"/>
          <w:lang w:eastAsia="en-GB"/>
        </w:rPr>
        <w:t xml:space="preserve"> and  to simulate discharge from the outputs of two chosen GCMs ( AIB) scenarios, and Regional Climate models for climate application (RCMs). This was pioneered by </w:t>
      </w:r>
      <w:r w:rsidRPr="005B1A8D">
        <w:rPr>
          <w:rFonts w:asciiTheme="majorBidi" w:hAnsiTheme="majorBidi" w:cstheme="majorBidi"/>
          <w:sz w:val="28"/>
          <w:szCs w:val="28"/>
        </w:rPr>
        <w:t>[39]</w:t>
      </w:r>
      <w:r w:rsidRPr="005B1A8D">
        <w:rPr>
          <w:rFonts w:asciiTheme="majorBidi" w:hAnsiTheme="majorBidi" w:cstheme="majorBidi"/>
          <w:noProof/>
          <w:sz w:val="28"/>
          <w:szCs w:val="28"/>
          <w:lang w:eastAsia="en-GB"/>
        </w:rPr>
        <w:t xml:space="preserve"> Meteorological data from the upper (ETB) in Turkey which were obtained from the Turkish Meteorological Service and  discharge measurements records were obtained from Palu and Baağiştas discharge measuring stations in Turkey and Baghdad and Hindiya discharge measuring station in Iraq. In terms of the reference period simulations, 30-year daily surface runoff and sub-surface runoff from the GCMs, models (1961−1990) and from the dynamically downscaled outputs of the same period were used to drive the HD model.</w:t>
      </w:r>
    </w:p>
    <w:p w:rsidR="00EF5A57" w:rsidRPr="005B1A8D" w:rsidRDefault="00EF5A57" w:rsidP="00EF5A57">
      <w:pPr>
        <w:spacing w:line="240" w:lineRule="auto"/>
        <w:ind w:firstLine="1304"/>
        <w:rPr>
          <w:rFonts w:asciiTheme="majorBidi" w:hAnsiTheme="majorBidi" w:cstheme="majorBidi"/>
          <w:noProof/>
          <w:sz w:val="28"/>
          <w:szCs w:val="28"/>
          <w:lang w:eastAsia="en-GB"/>
        </w:rPr>
      </w:pPr>
      <w:r w:rsidRPr="005B1A8D">
        <w:rPr>
          <w:rFonts w:asciiTheme="majorBidi" w:hAnsiTheme="majorBidi" w:cstheme="majorBidi"/>
          <w:noProof/>
          <w:sz w:val="28"/>
          <w:szCs w:val="28"/>
          <w:lang w:eastAsia="en-GB"/>
        </w:rPr>
        <w:t xml:space="preserve">The outputs of the used models indicated in (Fig.18) shows the mean annual discharge cycle on the for Palu, Baaĝiştas, Hindiya, and Bagdad gauging stations forced by General Circulation Models outputs and RCM outputs for the base period (1961-1990). (Fig.19) depicts the mean annual discharge cycle of the reference period (1961-1990) and the future period (2071-2100) at the Palu, Baaĝiştas, and Hindiya gauging stations from the various simulations. The discharge is projected to increase slightly between November and December, and it is expected to decrease during the rest of the year. As the increase in temperature is more pronounced at the end of the century, this means earlier melting of snow. The overall total discharge is projected to decrease for these gauging stations by the end of the Century, and the increase in temperature is more pronounced at the end of it, which </w:t>
      </w:r>
      <w:r w:rsidRPr="005B1A8D">
        <w:rPr>
          <w:rFonts w:asciiTheme="majorBidi" w:hAnsiTheme="majorBidi" w:cstheme="majorBidi"/>
          <w:noProof/>
          <w:sz w:val="28"/>
          <w:szCs w:val="28"/>
          <w:lang w:eastAsia="en-GB"/>
        </w:rPr>
        <w:lastRenderedPageBreak/>
        <w:t>means earlier melting of snow; the slight increase in January is related primarily to snowmelt runoff.</w:t>
      </w:r>
    </w:p>
    <w:p w:rsidR="00EF5A57" w:rsidRPr="005B1A8D" w:rsidRDefault="00EF5A57" w:rsidP="00EF5A57">
      <w:pPr>
        <w:spacing w:line="240" w:lineRule="auto"/>
        <w:ind w:firstLine="1304"/>
        <w:rPr>
          <w:rFonts w:asciiTheme="majorBidi" w:hAnsiTheme="majorBidi" w:cstheme="majorBidi"/>
          <w:noProof/>
          <w:sz w:val="28"/>
          <w:szCs w:val="28"/>
          <w:lang w:eastAsia="en-GB"/>
        </w:rPr>
      </w:pPr>
      <w:r w:rsidRPr="005B1A8D">
        <w:rPr>
          <w:rFonts w:asciiTheme="majorBidi" w:hAnsiTheme="majorBidi" w:cstheme="majorBidi"/>
          <w:noProof/>
          <w:sz w:val="28"/>
          <w:szCs w:val="28"/>
          <w:lang w:eastAsia="en-GB"/>
        </w:rPr>
        <w:t xml:space="preserve">Further river discharge simulations indicate a striking decrease in the mean annual discharge for the Euphrates River by the end of the Century, ranging from 19% to 58% according to the various models used.These results, even with a certain margin of uncertainty resulting from the uncertainties embedded in the GCMs models mean that any future planning within this basin must be treated with caution and prudence. The overall total discharge is projected to decrease for these gauging stations by the end of the Century, and the increase in temperature is more pronounced at the end of it, which means earlier melting of snow; the slight increase in January is related primarily to snowmelt runoff. </w:t>
      </w:r>
    </w:p>
    <w:p w:rsidR="00EF5A57" w:rsidRPr="005B1A8D" w:rsidRDefault="00EF5A57" w:rsidP="00EF5A57">
      <w:pPr>
        <w:spacing w:line="240" w:lineRule="auto"/>
        <w:jc w:val="center"/>
        <w:rPr>
          <w:rFonts w:asciiTheme="majorBidi" w:hAnsiTheme="majorBidi" w:cstheme="majorBidi"/>
          <w:noProof/>
          <w:sz w:val="28"/>
          <w:szCs w:val="28"/>
          <w:lang w:eastAsia="en-GB"/>
        </w:rPr>
      </w:pPr>
      <w:r w:rsidRPr="005B1A8D">
        <w:rPr>
          <w:rFonts w:asciiTheme="majorBidi" w:eastAsia="Calibri" w:hAnsiTheme="majorBidi" w:cstheme="majorBidi"/>
          <w:noProof/>
          <w:sz w:val="28"/>
          <w:szCs w:val="28"/>
          <w:rtl/>
          <w:lang w:eastAsia="en-US"/>
        </w:rPr>
        <w:drawing>
          <wp:inline distT="0" distB="0" distL="0" distR="0" wp14:anchorId="020811AA" wp14:editId="0A9A56F1">
            <wp:extent cx="5068388" cy="2643505"/>
            <wp:effectExtent l="0" t="0" r="0" b="4445"/>
            <wp:docPr id="20" name="Picture 1" descr="C:\Users\HP-PC\Downloads\Projected-river-discharge-in-the-Euphrates-Tigris-6-6-p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503680" name="Picture 1" descr="C:\Users\HP-PC\Downloads\Projected-river-discharge-in-the-Euphrates-Tigris-6-6-page-001.jpg"/>
                    <pic:cNvPicPr>
                      <a:picLocks noChangeAspect="1" noChangeArrowheads="1"/>
                    </pic:cNvPicPr>
                  </pic:nvPicPr>
                  <pic:blipFill>
                    <a:blip r:embed="rId25" cstate="print"/>
                    <a:stretch>
                      <a:fillRect/>
                    </a:stretch>
                  </pic:blipFill>
                  <pic:spPr bwMode="auto">
                    <a:xfrm>
                      <a:off x="0" y="0"/>
                      <a:ext cx="5073777" cy="2646316"/>
                    </a:xfrm>
                    <a:prstGeom prst="rect">
                      <a:avLst/>
                    </a:prstGeom>
                    <a:noFill/>
                    <a:ln w="9525">
                      <a:noFill/>
                      <a:miter lim="800000"/>
                      <a:headEnd/>
                      <a:tailEnd/>
                    </a:ln>
                  </pic:spPr>
                </pic:pic>
              </a:graphicData>
            </a:graphic>
          </wp:inline>
        </w:drawing>
      </w:r>
    </w:p>
    <w:p w:rsidR="00EF5A57" w:rsidRPr="00EF5A57" w:rsidRDefault="00EF5A57" w:rsidP="00EF5A57">
      <w:pPr>
        <w:autoSpaceDE w:val="0"/>
        <w:autoSpaceDN w:val="0"/>
        <w:spacing w:line="240" w:lineRule="auto"/>
        <w:jc w:val="center"/>
        <w:rPr>
          <w:rFonts w:asciiTheme="majorBidi" w:hAnsiTheme="majorBidi" w:cstheme="majorBidi"/>
          <w:noProof/>
          <w:sz w:val="28"/>
          <w:szCs w:val="28"/>
          <w:lang w:eastAsia="en-GB"/>
        </w:rPr>
      </w:pPr>
      <w:r w:rsidRPr="00EF5A57">
        <w:rPr>
          <w:rFonts w:asciiTheme="majorBidi" w:hAnsiTheme="majorBidi" w:cstheme="majorBidi"/>
          <w:noProof/>
          <w:sz w:val="28"/>
          <w:szCs w:val="28"/>
          <w:lang w:eastAsia="en-GB"/>
        </w:rPr>
        <w:t>Fig.18: Mean monthly discharge for the (a) Palu, (b) Baağıştas¸ , (c) Hindiya and (b) Baghdad stream flow gauging station (black continuous line) and the HD model simulation results (dashed lines) forced by GCM-ECHAM5 (blue), MPI-ESM (red RCM-NCEP/NCAR (orange), RCM-ECHAM5 (green) and RCM-CCSM3 (dark blue). Note differences in y-axis scales (1961-1990).</w:t>
      </w:r>
    </w:p>
    <w:p w:rsidR="00EF5A57" w:rsidRPr="00EF5A57" w:rsidRDefault="00EF5A57" w:rsidP="00EF5A57">
      <w:pPr>
        <w:autoSpaceDE w:val="0"/>
        <w:autoSpaceDN w:val="0"/>
        <w:spacing w:line="240" w:lineRule="auto"/>
        <w:rPr>
          <w:rFonts w:asciiTheme="majorBidi" w:hAnsiTheme="majorBidi" w:cstheme="majorBidi"/>
          <w:noProof/>
          <w:sz w:val="28"/>
          <w:szCs w:val="28"/>
          <w:lang w:eastAsia="en-GB"/>
        </w:rPr>
      </w:pPr>
    </w:p>
    <w:p w:rsidR="00EF5A57" w:rsidRPr="005B1A8D" w:rsidRDefault="00EF5A57" w:rsidP="00EF5A57">
      <w:pPr>
        <w:spacing w:line="240" w:lineRule="auto"/>
        <w:jc w:val="center"/>
        <w:rPr>
          <w:rFonts w:asciiTheme="majorBidi" w:hAnsiTheme="majorBidi" w:cstheme="majorBidi"/>
          <w:noProof/>
          <w:sz w:val="28"/>
          <w:szCs w:val="28"/>
          <w:lang w:eastAsia="en-GB"/>
        </w:rPr>
      </w:pPr>
      <w:r w:rsidRPr="005B1A8D">
        <w:rPr>
          <w:rFonts w:asciiTheme="majorBidi" w:hAnsiTheme="majorBidi" w:cstheme="majorBidi"/>
          <w:noProof/>
          <w:sz w:val="28"/>
          <w:szCs w:val="28"/>
          <w:rtl/>
          <w:lang w:eastAsia="en-US"/>
        </w:rPr>
        <w:lastRenderedPageBreak/>
        <w:drawing>
          <wp:inline distT="0" distB="0" distL="0" distR="0" wp14:anchorId="5E0612A8" wp14:editId="2A06A3F3">
            <wp:extent cx="3442335" cy="2625430"/>
            <wp:effectExtent l="0" t="0" r="5715" b="3810"/>
            <wp:docPr id="21" name="Picture 2" descr="C:\Users\HP-PC\Downloads\Projected-river-discharge-in-the-Euphrates-Tigris-10-10-p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167358" name="Picture 2" descr="C:\Users\HP-PC\Downloads\Projected-river-discharge-in-the-Euphrates-Tigris-10-10-page-001.jpg"/>
                    <pic:cNvPicPr>
                      <a:picLocks noChangeAspect="1" noChangeArrowheads="1"/>
                    </pic:cNvPicPr>
                  </pic:nvPicPr>
                  <pic:blipFill>
                    <a:blip r:embed="rId26" cstate="print"/>
                    <a:stretch>
                      <a:fillRect/>
                    </a:stretch>
                  </pic:blipFill>
                  <pic:spPr bwMode="auto">
                    <a:xfrm>
                      <a:off x="0" y="0"/>
                      <a:ext cx="3448730" cy="2630308"/>
                    </a:xfrm>
                    <a:prstGeom prst="rect">
                      <a:avLst/>
                    </a:prstGeom>
                    <a:noFill/>
                    <a:ln w="9525">
                      <a:noFill/>
                      <a:miter lim="800000"/>
                      <a:headEnd/>
                      <a:tailEnd/>
                    </a:ln>
                  </pic:spPr>
                </pic:pic>
              </a:graphicData>
            </a:graphic>
          </wp:inline>
        </w:drawing>
      </w:r>
    </w:p>
    <w:p w:rsidR="00EF5A57" w:rsidRPr="00EF5A57" w:rsidRDefault="00EF5A57" w:rsidP="00EF5A57">
      <w:pPr>
        <w:autoSpaceDE w:val="0"/>
        <w:autoSpaceDN w:val="0"/>
        <w:spacing w:line="240" w:lineRule="auto"/>
        <w:jc w:val="center"/>
        <w:rPr>
          <w:rFonts w:asciiTheme="majorBidi" w:hAnsiTheme="majorBidi" w:cstheme="majorBidi"/>
          <w:noProof/>
          <w:sz w:val="28"/>
          <w:szCs w:val="28"/>
          <w:lang w:eastAsia="en-GB"/>
        </w:rPr>
      </w:pPr>
      <w:r w:rsidRPr="00EF5A57">
        <w:rPr>
          <w:rFonts w:asciiTheme="majorBidi" w:hAnsiTheme="majorBidi" w:cstheme="majorBidi"/>
          <w:noProof/>
          <w:sz w:val="28"/>
          <w:szCs w:val="28"/>
          <w:lang w:eastAsia="en-GB"/>
        </w:rPr>
        <w:t>Fig.19: Mean monthly discharge (m3/ s) simulated by the HD model for (a, b) Palu,(C,d) Baağişas¸ and (e, f) Hindiya for the reference (black solid line) and future (blue dashed line) periods. Forcing- (a, c, e) GCM-ECHAM5; (b, d, f) MPI-ESM.  (Base period 1969-1990, Future period 2071-2100).</w:t>
      </w:r>
    </w:p>
    <w:p w:rsidR="00EF5A57" w:rsidRPr="00EF5A57" w:rsidRDefault="00EF5A57" w:rsidP="00EF5A57">
      <w:pPr>
        <w:autoSpaceDE w:val="0"/>
        <w:autoSpaceDN w:val="0"/>
        <w:spacing w:line="240" w:lineRule="auto"/>
        <w:jc w:val="center"/>
        <w:rPr>
          <w:rFonts w:asciiTheme="majorBidi" w:hAnsiTheme="majorBidi" w:cstheme="majorBidi"/>
          <w:noProof/>
          <w:sz w:val="28"/>
          <w:szCs w:val="28"/>
          <w:lang w:eastAsia="en-GB"/>
        </w:rPr>
      </w:pPr>
    </w:p>
    <w:p w:rsidR="00EF5A57" w:rsidRPr="00EF5A57" w:rsidRDefault="00EF5A57" w:rsidP="00EF5A57">
      <w:pPr>
        <w:spacing w:after="240" w:line="240" w:lineRule="auto"/>
        <w:rPr>
          <w:b/>
          <w:color w:val="000000"/>
          <w:sz w:val="30"/>
          <w:szCs w:val="30"/>
        </w:rPr>
      </w:pPr>
      <w:r>
        <w:rPr>
          <w:b/>
          <w:sz w:val="30"/>
          <w:szCs w:val="30"/>
        </w:rPr>
        <w:t>5</w:t>
      </w:r>
      <w:r w:rsidRPr="009A6DA1">
        <w:rPr>
          <w:b/>
          <w:color w:val="000000"/>
          <w:sz w:val="30"/>
          <w:szCs w:val="30"/>
        </w:rPr>
        <w:t xml:space="preserve">  </w:t>
      </w:r>
      <w:r>
        <w:rPr>
          <w:b/>
          <w:color w:val="000000"/>
          <w:sz w:val="30"/>
          <w:szCs w:val="30"/>
        </w:rPr>
        <w:t xml:space="preserve"> </w:t>
      </w:r>
      <w:r w:rsidRPr="00EF5A57">
        <w:rPr>
          <w:b/>
          <w:color w:val="000000"/>
          <w:sz w:val="30"/>
          <w:szCs w:val="30"/>
        </w:rPr>
        <w:t>Climate Change: Tigris Rivers Tributaries Basins Model Studies</w:t>
      </w:r>
    </w:p>
    <w:p w:rsidR="00EF5A57" w:rsidRPr="00EF5A57" w:rsidRDefault="00EF5A57" w:rsidP="00EF5A57">
      <w:pPr>
        <w:autoSpaceDE w:val="0"/>
        <w:autoSpaceDN w:val="0"/>
        <w:spacing w:line="240" w:lineRule="auto"/>
        <w:rPr>
          <w:rFonts w:asciiTheme="majorBidi" w:hAnsiTheme="majorBidi" w:cstheme="majorBidi"/>
          <w:noProof/>
          <w:sz w:val="28"/>
          <w:szCs w:val="28"/>
          <w:lang w:eastAsia="en-GB"/>
        </w:rPr>
      </w:pPr>
    </w:p>
    <w:p w:rsidR="00EF5A57" w:rsidRPr="00EF5A57" w:rsidRDefault="00EF5A57" w:rsidP="00EF5A57">
      <w:pPr>
        <w:widowControl/>
        <w:adjustRightInd/>
        <w:spacing w:line="240" w:lineRule="auto"/>
        <w:ind w:firstLine="1304"/>
        <w:textAlignment w:val="auto"/>
        <w:rPr>
          <w:rFonts w:eastAsia="Calibri"/>
          <w:noProof/>
          <w:sz w:val="28"/>
          <w:szCs w:val="28"/>
          <w:lang w:eastAsia="en-GB"/>
        </w:rPr>
      </w:pPr>
      <w:r w:rsidRPr="00EF5A57">
        <w:rPr>
          <w:rFonts w:eastAsia="Calibri"/>
          <w:noProof/>
          <w:sz w:val="28"/>
          <w:szCs w:val="28"/>
          <w:lang w:eastAsia="en-GB"/>
        </w:rPr>
        <w:t>Many studies by different authors were performed during the last few decades on the climate of Iraq and its bearing on its environmental conditions and water resources. Most of these studies did not trace the impacts of Global Climate change in the Euphrates and Tigris basins within Iraq as a whole, although, these changes were so evident during the last 50 years.</w:t>
      </w:r>
    </w:p>
    <w:p w:rsidR="00EF5A57" w:rsidRPr="00EF5A57" w:rsidRDefault="00EF5A57" w:rsidP="00EF5A57">
      <w:pPr>
        <w:widowControl/>
        <w:adjustRightInd/>
        <w:spacing w:line="240" w:lineRule="auto"/>
        <w:ind w:firstLine="1304"/>
        <w:textAlignment w:val="auto"/>
        <w:rPr>
          <w:rFonts w:eastAsia="Calibri"/>
          <w:noProof/>
          <w:sz w:val="28"/>
          <w:szCs w:val="28"/>
          <w:lang w:eastAsia="en-GB"/>
        </w:rPr>
      </w:pPr>
      <w:r w:rsidRPr="00EF5A57">
        <w:rPr>
          <w:rFonts w:eastAsia="Calibri"/>
          <w:noProof/>
          <w:sz w:val="28"/>
          <w:szCs w:val="28"/>
          <w:lang w:eastAsia="en-GB"/>
        </w:rPr>
        <w:t xml:space="preserve">In recent years a group of researchers led by Al-Ansari completed a number of studies to bridge this gap by taking the six basins of the Tigris River tributaries: namely the Greater Zab, the Lesser Zab, the Diyala, the Khabour and Al-Udhaim and selected a area of the Sulaiminia Governorate each at a time, and analyzing Climate Change impact on them and projecting these changes into the future. In so doing attention was paid to local conditions in each area as to the effect of topographical conditions and geographical location. These studies, taken as a whole present a clear picture of expected future changes in </w:t>
      </w:r>
      <w:r w:rsidRPr="00EF5A57">
        <w:rPr>
          <w:rFonts w:eastAsia="Calibri"/>
          <w:noProof/>
          <w:sz w:val="28"/>
          <w:szCs w:val="28"/>
          <w:lang w:eastAsia="en-GB"/>
        </w:rPr>
        <w:lastRenderedPageBreak/>
        <w:t xml:space="preserve">the Tigris River basin in the 21st century in Iraq. One common feature of these studies is the utilization of the General Circulation Models (GCM), which is global climate mathematical models used for weather and climate changes forecasting, taken together with assumed (IPCC) emission Scenarios to provide the input data for these models. The selection of the Models and Scenarios was done according to the judgment of the researchers and, obtaining best fits with previous base time set of data. These Models and Emission Scenarios are indicated in each of the following studies. </w:t>
      </w:r>
    </w:p>
    <w:p w:rsidR="00EF5A57" w:rsidRPr="00EF5A57" w:rsidRDefault="00EF5A57" w:rsidP="00EF5A57">
      <w:pPr>
        <w:autoSpaceDE w:val="0"/>
        <w:autoSpaceDN w:val="0"/>
        <w:spacing w:line="240" w:lineRule="auto"/>
        <w:jc w:val="center"/>
        <w:rPr>
          <w:rFonts w:asciiTheme="majorBidi" w:hAnsiTheme="majorBidi" w:cstheme="majorBidi"/>
          <w:noProof/>
          <w:sz w:val="28"/>
          <w:szCs w:val="28"/>
          <w:lang w:eastAsia="en-GB"/>
        </w:rPr>
      </w:pPr>
    </w:p>
    <w:p w:rsidR="00EF5A57" w:rsidRPr="005B1A8D" w:rsidRDefault="00EF5A57" w:rsidP="00EF5A57">
      <w:pPr>
        <w:spacing w:line="240" w:lineRule="auto"/>
        <w:rPr>
          <w:rFonts w:asciiTheme="majorBidi" w:hAnsiTheme="majorBidi" w:cstheme="majorBidi"/>
          <w:b/>
          <w:bCs/>
          <w:noProof/>
          <w:sz w:val="28"/>
          <w:szCs w:val="28"/>
          <w:lang w:eastAsia="en-GB"/>
        </w:rPr>
      </w:pPr>
      <w:r w:rsidRPr="005B1A8D">
        <w:rPr>
          <w:rFonts w:asciiTheme="majorBidi" w:hAnsiTheme="majorBidi" w:cstheme="majorBidi"/>
          <w:b/>
          <w:bCs/>
          <w:noProof/>
          <w:sz w:val="28"/>
          <w:szCs w:val="28"/>
          <w:lang w:eastAsia="en-GB"/>
        </w:rPr>
        <w:t xml:space="preserve">5.1. Climate Change Impacts on Sulaimania Governorate </w:t>
      </w:r>
    </w:p>
    <w:p w:rsidR="00EF5A57" w:rsidRDefault="00EF5A57" w:rsidP="003150B9">
      <w:pPr>
        <w:spacing w:after="240" w:line="360" w:lineRule="auto"/>
        <w:rPr>
          <w:szCs w:val="24"/>
        </w:rPr>
      </w:pPr>
    </w:p>
    <w:p w:rsidR="00EF5A57" w:rsidRDefault="00EF5A57" w:rsidP="003150B9">
      <w:pPr>
        <w:spacing w:after="240" w:line="360" w:lineRule="auto"/>
        <w:rPr>
          <w:szCs w:val="24"/>
        </w:rPr>
      </w:pPr>
    </w:p>
    <w:p w:rsidR="00FA6DE5" w:rsidRPr="005B1A8D" w:rsidRDefault="00FA6DE5" w:rsidP="00FA6DE5">
      <w:pPr>
        <w:spacing w:line="240" w:lineRule="auto"/>
        <w:rPr>
          <w:rFonts w:asciiTheme="majorBidi" w:hAnsiTheme="majorBidi" w:cstheme="majorBidi"/>
          <w:noProof/>
          <w:sz w:val="28"/>
          <w:szCs w:val="28"/>
          <w:lang w:eastAsia="en-GB"/>
        </w:rPr>
      </w:pPr>
      <w:r w:rsidRPr="005B1A8D">
        <w:rPr>
          <w:rFonts w:asciiTheme="majorBidi" w:hAnsiTheme="majorBidi" w:cstheme="majorBidi"/>
          <w:sz w:val="28"/>
          <w:szCs w:val="28"/>
        </w:rPr>
        <w:t>[40]</w:t>
      </w:r>
      <w:r w:rsidRPr="005B1A8D">
        <w:rPr>
          <w:rFonts w:asciiTheme="majorBidi" w:hAnsiTheme="majorBidi" w:cstheme="majorBidi"/>
          <w:noProof/>
          <w:sz w:val="28"/>
          <w:szCs w:val="28"/>
          <w:lang w:eastAsia="en-GB"/>
        </w:rPr>
        <w:t xml:space="preserve"> investigated Climate Change and future long-term trends of rainfall in northeast Iraq and taking the Sulaimania Governorate as an example. This study area is shown in figure (20), has an area of 17,023 km2 about (9.3 %) of that of Iraq, and it may be taken to a certain extent as representative of north-east of Iraq and the north-western part of Iran adjacent to Iraq. Changes in the precipitation pattern on this area will show the influence on the lesser Zab and Diyala, the two tributaries of the Tigris River.</w:t>
      </w:r>
    </w:p>
    <w:p w:rsidR="00FA6DE5" w:rsidRPr="005B1A8D" w:rsidRDefault="00FA6DE5" w:rsidP="00FA6DE5">
      <w:pPr>
        <w:spacing w:line="240" w:lineRule="auto"/>
        <w:jc w:val="center"/>
        <w:rPr>
          <w:rFonts w:asciiTheme="majorBidi" w:hAnsiTheme="majorBidi" w:cstheme="majorBidi"/>
          <w:noProof/>
          <w:sz w:val="28"/>
          <w:szCs w:val="28"/>
          <w:lang w:eastAsia="en-GB"/>
        </w:rPr>
      </w:pPr>
      <w:r w:rsidRPr="005B1A8D">
        <w:rPr>
          <w:rFonts w:asciiTheme="majorBidi" w:hAnsiTheme="majorBidi" w:cstheme="majorBidi"/>
          <w:noProof/>
          <w:lang w:eastAsia="en-US"/>
        </w:rPr>
        <w:drawing>
          <wp:inline distT="0" distB="0" distL="0" distR="0" wp14:anchorId="593864A0" wp14:editId="6379378C">
            <wp:extent cx="3698935" cy="2235092"/>
            <wp:effectExtent l="57150" t="38100" r="34865" b="12808"/>
            <wp:docPr id="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364897" name="Picture 1"/>
                    <pic:cNvPicPr>
                      <a:picLocks noChangeAspect="1" noChangeArrowheads="1"/>
                    </pic:cNvPicPr>
                  </pic:nvPicPr>
                  <pic:blipFill>
                    <a:blip r:embed="rId27" cstate="print"/>
                    <a:srcRect r="1283" b="2189"/>
                    <a:stretch>
                      <a:fillRect/>
                    </a:stretch>
                  </pic:blipFill>
                  <pic:spPr bwMode="auto">
                    <a:xfrm>
                      <a:off x="0" y="0"/>
                      <a:ext cx="3698935" cy="2235092"/>
                    </a:xfrm>
                    <a:prstGeom prst="rect">
                      <a:avLst/>
                    </a:prstGeom>
                    <a:noFill/>
                    <a:ln w="28575">
                      <a:solidFill>
                        <a:schemeClr val="tx1"/>
                      </a:solidFill>
                      <a:miter lim="800000"/>
                      <a:headEnd/>
                      <a:tailEnd/>
                    </a:ln>
                  </pic:spPr>
                </pic:pic>
              </a:graphicData>
            </a:graphic>
          </wp:inline>
        </w:drawing>
      </w:r>
    </w:p>
    <w:p w:rsidR="00FA6DE5" w:rsidRPr="005B1A8D" w:rsidRDefault="00FA6DE5" w:rsidP="00FA6DE5">
      <w:pPr>
        <w:autoSpaceDE w:val="0"/>
        <w:autoSpaceDN w:val="0"/>
        <w:spacing w:line="240" w:lineRule="auto"/>
        <w:jc w:val="center"/>
        <w:rPr>
          <w:rFonts w:asciiTheme="majorBidi" w:hAnsiTheme="majorBidi" w:cstheme="majorBidi"/>
          <w:i/>
          <w:iCs/>
          <w:noProof/>
          <w:lang w:val="en-GB" w:eastAsia="en-GB"/>
        </w:rPr>
      </w:pPr>
      <w:r w:rsidRPr="005B1A8D">
        <w:rPr>
          <w:rFonts w:asciiTheme="majorBidi" w:hAnsiTheme="majorBidi" w:cstheme="majorBidi"/>
          <w:i/>
          <w:iCs/>
          <w:noProof/>
          <w:lang w:val="en-GB" w:eastAsia="en-GB"/>
        </w:rPr>
        <w:t>Fig. 20: Map of Iraq with the enlarged view of the 10 districts of Sulaimania Governorate.</w:t>
      </w:r>
    </w:p>
    <w:p w:rsidR="00FA6DE5" w:rsidRPr="005B1A8D" w:rsidRDefault="00FA6DE5" w:rsidP="00FA6DE5">
      <w:pPr>
        <w:spacing w:line="240" w:lineRule="auto"/>
        <w:rPr>
          <w:rFonts w:asciiTheme="majorBidi" w:hAnsiTheme="majorBidi" w:cstheme="majorBidi"/>
          <w:noProof/>
          <w:sz w:val="28"/>
          <w:szCs w:val="28"/>
          <w:lang w:eastAsia="en-GB"/>
        </w:rPr>
      </w:pPr>
    </w:p>
    <w:p w:rsidR="00FA6DE5" w:rsidRPr="005B1A8D" w:rsidRDefault="00FA6DE5" w:rsidP="00FA6DE5">
      <w:pPr>
        <w:spacing w:line="240" w:lineRule="auto"/>
        <w:ind w:firstLine="1304"/>
        <w:rPr>
          <w:rFonts w:asciiTheme="majorBidi" w:hAnsiTheme="majorBidi" w:cstheme="majorBidi"/>
          <w:noProof/>
          <w:sz w:val="28"/>
          <w:szCs w:val="28"/>
          <w:lang w:eastAsia="en-GB"/>
        </w:rPr>
      </w:pPr>
      <w:r w:rsidRPr="005B1A8D">
        <w:rPr>
          <w:rFonts w:asciiTheme="majorBidi" w:hAnsiTheme="majorBidi" w:cstheme="majorBidi"/>
          <w:noProof/>
          <w:sz w:val="28"/>
          <w:szCs w:val="28"/>
          <w:lang w:eastAsia="en-GB"/>
        </w:rPr>
        <w:lastRenderedPageBreak/>
        <w:t>The study used daily atmospheric variables available at the National Center for Environmental Predictions (NCEPC) and, the Met. office (U.K) global climate model (GCM) - third version (HadCH3); which is based on two (IPCC) emission scenarios (A2, B2). The obtained projections from these two scenarios till the year 2100 are shown in figures (20) and (21). The plots and their trend lines for the average annual rainfall show a significant downward trend for both A2 and B2 scenarios for the period 1961-2099: with an acute reduction for the A2 scenario; they both indicate severe climate change impact on this area with a subsequent diminishing of the water resources.</w:t>
      </w:r>
    </w:p>
    <w:p w:rsidR="00FA6DE5" w:rsidRPr="005B1A8D" w:rsidRDefault="00FA6DE5" w:rsidP="00FA6DE5">
      <w:pPr>
        <w:spacing w:line="240" w:lineRule="auto"/>
        <w:jc w:val="center"/>
        <w:rPr>
          <w:rFonts w:asciiTheme="majorBidi" w:hAnsiTheme="majorBidi" w:cstheme="majorBidi"/>
          <w:noProof/>
          <w:sz w:val="28"/>
          <w:szCs w:val="28"/>
          <w:lang w:eastAsia="en-GB"/>
        </w:rPr>
      </w:pPr>
      <w:r w:rsidRPr="005B1A8D">
        <w:rPr>
          <w:rFonts w:asciiTheme="majorBidi" w:eastAsia="Calibri" w:hAnsiTheme="majorBidi" w:cstheme="majorBidi"/>
          <w:noProof/>
          <w:sz w:val="28"/>
          <w:szCs w:val="28"/>
          <w:rtl/>
          <w:lang w:eastAsia="en-US"/>
        </w:rPr>
        <w:drawing>
          <wp:inline distT="0" distB="0" distL="0" distR="0" wp14:anchorId="3C54E581" wp14:editId="1FF55211">
            <wp:extent cx="3063240" cy="1213865"/>
            <wp:effectExtent l="38100" t="38100" r="41910" b="43815"/>
            <wp:docPr id="34" name="Picture 3" descr="C:\Users\HP-PC\Downloads\Climate Change and Future Long-Term Trends of-11-11-page-00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587144" name="Picture 3" descr="C:\Users\HP-PC\Downloads\Climate Change and Future Long-Term Trends of-11-11-page-001 (1).jpg"/>
                    <pic:cNvPicPr>
                      <a:picLocks noChangeAspect="1" noChangeArrowheads="1"/>
                    </pic:cNvPicPr>
                  </pic:nvPicPr>
                  <pic:blipFill>
                    <a:blip r:embed="rId28" cstate="print"/>
                    <a:srcRect t="1804" b="53480"/>
                    <a:stretch>
                      <a:fillRect/>
                    </a:stretch>
                  </pic:blipFill>
                  <pic:spPr bwMode="auto">
                    <a:xfrm>
                      <a:off x="0" y="0"/>
                      <a:ext cx="3108337" cy="1231736"/>
                    </a:xfrm>
                    <a:prstGeom prst="rect">
                      <a:avLst/>
                    </a:prstGeom>
                    <a:noFill/>
                    <a:ln w="28575">
                      <a:solidFill>
                        <a:sysClr val="windowText" lastClr="000000"/>
                      </a:solidFill>
                      <a:miter lim="800000"/>
                      <a:headEnd/>
                      <a:tailEnd/>
                    </a:ln>
                  </pic:spPr>
                </pic:pic>
              </a:graphicData>
            </a:graphic>
          </wp:inline>
        </w:drawing>
      </w:r>
    </w:p>
    <w:p w:rsidR="00FA6DE5" w:rsidRPr="005B1A8D" w:rsidRDefault="00FA6DE5" w:rsidP="00FA6DE5">
      <w:pPr>
        <w:autoSpaceDE w:val="0"/>
        <w:autoSpaceDN w:val="0"/>
        <w:spacing w:line="240" w:lineRule="auto"/>
        <w:jc w:val="center"/>
        <w:rPr>
          <w:rFonts w:asciiTheme="majorBidi" w:hAnsiTheme="majorBidi" w:cstheme="majorBidi"/>
          <w:i/>
          <w:iCs/>
          <w:noProof/>
          <w:lang w:val="en-GB" w:eastAsia="en-GB"/>
        </w:rPr>
      </w:pPr>
      <w:r w:rsidRPr="005B1A8D">
        <w:rPr>
          <w:rFonts w:asciiTheme="majorBidi" w:hAnsiTheme="majorBidi" w:cstheme="majorBidi"/>
          <w:i/>
          <w:iCs/>
          <w:noProof/>
          <w:lang w:val="en-GB" w:eastAsia="en-GB"/>
        </w:rPr>
        <w:t>Fig.20: Average annual rainfall for A2 scenario compared with control period.</w:t>
      </w:r>
    </w:p>
    <w:p w:rsidR="00FA6DE5" w:rsidRPr="005B1A8D" w:rsidRDefault="00FA6DE5" w:rsidP="00FA6DE5">
      <w:pPr>
        <w:spacing w:line="240" w:lineRule="auto"/>
        <w:jc w:val="center"/>
        <w:rPr>
          <w:rFonts w:asciiTheme="majorBidi" w:hAnsiTheme="majorBidi" w:cstheme="majorBidi"/>
          <w:noProof/>
          <w:sz w:val="28"/>
          <w:szCs w:val="28"/>
          <w:lang w:eastAsia="en-GB"/>
        </w:rPr>
      </w:pPr>
      <w:r w:rsidRPr="005B1A8D">
        <w:rPr>
          <w:rFonts w:asciiTheme="majorBidi" w:hAnsiTheme="majorBidi" w:cstheme="majorBidi"/>
          <w:noProof/>
          <w:rtl/>
          <w:lang w:eastAsia="en-US"/>
        </w:rPr>
        <w:drawing>
          <wp:inline distT="0" distB="0" distL="0" distR="0" wp14:anchorId="215A259A" wp14:editId="1A614D1B">
            <wp:extent cx="3088640" cy="1269530"/>
            <wp:effectExtent l="38100" t="38100" r="35560" b="45085"/>
            <wp:docPr id="24" name="Picture 3" descr="C:\Users\HP-PC\Downloads\Climate Change and Future Long-Term Trends of-11-11-page-00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356008" name="Picture 3" descr="C:\Users\HP-PC\Downloads\Climate Change and Future Long-Term Trends of-11-11-page-001 (1).jpg"/>
                    <pic:cNvPicPr>
                      <a:picLocks noChangeAspect="1" noChangeArrowheads="1"/>
                    </pic:cNvPicPr>
                  </pic:nvPicPr>
                  <pic:blipFill>
                    <a:blip r:embed="rId28" cstate="print"/>
                    <a:srcRect t="49900" b="3808"/>
                    <a:stretch>
                      <a:fillRect/>
                    </a:stretch>
                  </pic:blipFill>
                  <pic:spPr bwMode="auto">
                    <a:xfrm>
                      <a:off x="0" y="0"/>
                      <a:ext cx="3145497" cy="1292900"/>
                    </a:xfrm>
                    <a:prstGeom prst="rect">
                      <a:avLst/>
                    </a:prstGeom>
                    <a:noFill/>
                    <a:ln w="28575">
                      <a:solidFill>
                        <a:schemeClr val="tx1"/>
                      </a:solidFill>
                      <a:miter lim="800000"/>
                      <a:headEnd/>
                      <a:tailEnd/>
                    </a:ln>
                  </pic:spPr>
                </pic:pic>
              </a:graphicData>
            </a:graphic>
          </wp:inline>
        </w:drawing>
      </w:r>
    </w:p>
    <w:p w:rsidR="00FA6DE5" w:rsidRPr="005B1A8D" w:rsidRDefault="00FA6DE5" w:rsidP="00FA6DE5">
      <w:pPr>
        <w:autoSpaceDE w:val="0"/>
        <w:autoSpaceDN w:val="0"/>
        <w:spacing w:line="240" w:lineRule="auto"/>
        <w:jc w:val="center"/>
        <w:rPr>
          <w:rFonts w:asciiTheme="majorBidi" w:hAnsiTheme="majorBidi" w:cstheme="majorBidi"/>
          <w:i/>
          <w:iCs/>
          <w:noProof/>
          <w:lang w:val="en-GB" w:eastAsia="en-GB"/>
        </w:rPr>
      </w:pPr>
      <w:r w:rsidRPr="005B1A8D">
        <w:rPr>
          <w:rFonts w:asciiTheme="majorBidi" w:hAnsiTheme="majorBidi" w:cstheme="majorBidi"/>
          <w:i/>
          <w:iCs/>
          <w:noProof/>
          <w:lang w:val="en-GB" w:eastAsia="en-GB"/>
        </w:rPr>
        <w:t>Fig. 21: Average annual rainfall for B2 scenario compared with control period.</w:t>
      </w:r>
    </w:p>
    <w:p w:rsidR="00FA6DE5" w:rsidRPr="005B1A8D" w:rsidRDefault="00FA6DE5" w:rsidP="00FA6DE5">
      <w:pPr>
        <w:spacing w:line="240" w:lineRule="auto"/>
        <w:rPr>
          <w:rFonts w:asciiTheme="majorBidi" w:hAnsiTheme="majorBidi" w:cstheme="majorBidi"/>
          <w:noProof/>
          <w:sz w:val="28"/>
          <w:szCs w:val="28"/>
          <w:lang w:eastAsia="en-GB"/>
        </w:rPr>
      </w:pPr>
    </w:p>
    <w:p w:rsidR="00FA6DE5" w:rsidRPr="005B1A8D" w:rsidRDefault="00FA6DE5" w:rsidP="00FA6DE5">
      <w:pPr>
        <w:spacing w:line="240" w:lineRule="auto"/>
        <w:ind w:firstLine="1304"/>
        <w:rPr>
          <w:rFonts w:asciiTheme="majorBidi" w:hAnsiTheme="majorBidi" w:cstheme="majorBidi"/>
          <w:noProof/>
          <w:sz w:val="28"/>
          <w:szCs w:val="28"/>
          <w:lang w:eastAsia="en-GB"/>
        </w:rPr>
      </w:pPr>
      <w:r w:rsidRPr="005B1A8D">
        <w:rPr>
          <w:rFonts w:asciiTheme="majorBidi" w:hAnsiTheme="majorBidi" w:cstheme="majorBidi"/>
          <w:noProof/>
          <w:sz w:val="28"/>
          <w:szCs w:val="28"/>
          <w:lang w:eastAsia="en-GB"/>
        </w:rPr>
        <w:t>The average monthly rainfall was also simulated by (HadCM3 - GCM) model for A2 and B2 scenarios of greenhouse emission for the three future periods 2020s, 2050s and 2080s and compared with the baseline period and shown in figures 22 and 23. Both plots for the two scenarios consistently project some reduction in the monthly rainfall for the 2020s, 2050s, and 2080s respectively; however  2080s experience largest drop especially during April (0.51%) and July (77%) months of A2 and during May (49%) and July (79%) of B2. Generally, the projected rainfall in future varies significantly/slightly amongst the three future periods and the emission scenario considered as A2 experience more significant reduction than scenario B2.</w:t>
      </w:r>
    </w:p>
    <w:p w:rsidR="00FA6DE5" w:rsidRPr="005B1A8D" w:rsidRDefault="00FA6DE5" w:rsidP="00FA6DE5">
      <w:pPr>
        <w:spacing w:line="240" w:lineRule="auto"/>
        <w:jc w:val="center"/>
        <w:rPr>
          <w:rFonts w:asciiTheme="majorBidi" w:hAnsiTheme="majorBidi" w:cstheme="majorBidi"/>
          <w:noProof/>
          <w:sz w:val="28"/>
          <w:szCs w:val="28"/>
          <w:lang w:eastAsia="en-GB"/>
        </w:rPr>
      </w:pPr>
      <w:r w:rsidRPr="005B1A8D">
        <w:rPr>
          <w:rFonts w:asciiTheme="majorBidi" w:hAnsiTheme="majorBidi" w:cstheme="majorBidi"/>
          <w:noProof/>
          <w:sz w:val="28"/>
          <w:szCs w:val="28"/>
          <w:rtl/>
          <w:lang w:eastAsia="en-US"/>
        </w:rPr>
        <w:lastRenderedPageBreak/>
        <w:drawing>
          <wp:inline distT="0" distB="0" distL="0" distR="0" wp14:anchorId="21D7B537" wp14:editId="6B4FBF7E">
            <wp:extent cx="3107055" cy="1419833"/>
            <wp:effectExtent l="19050" t="19050" r="17145" b="28575"/>
            <wp:docPr id="25" name="Picture 1" descr="C:\Users\HP-PC\Downloads\Climate Change and Future Long-Term Trends of-12-12-page-00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262228" name="Picture 1" descr="C:\Users\HP-PC\Downloads\Climate Change and Future Long-Term Trends of-12-12-page-001 (1).jpg"/>
                    <pic:cNvPicPr>
                      <a:picLocks noChangeAspect="1" noChangeArrowheads="1"/>
                    </pic:cNvPicPr>
                  </pic:nvPicPr>
                  <pic:blipFill>
                    <a:blip r:embed="rId29" cstate="print"/>
                    <a:srcRect l="22955" t="10482" r="22698" b="71481"/>
                    <a:stretch>
                      <a:fillRect/>
                    </a:stretch>
                  </pic:blipFill>
                  <pic:spPr bwMode="auto">
                    <a:xfrm>
                      <a:off x="0" y="0"/>
                      <a:ext cx="3124090" cy="1427617"/>
                    </a:xfrm>
                    <a:prstGeom prst="rect">
                      <a:avLst/>
                    </a:prstGeom>
                    <a:noFill/>
                    <a:ln w="19050">
                      <a:solidFill>
                        <a:schemeClr val="tx1"/>
                      </a:solidFill>
                      <a:miter lim="800000"/>
                      <a:headEnd/>
                      <a:tailEnd/>
                    </a:ln>
                  </pic:spPr>
                </pic:pic>
              </a:graphicData>
            </a:graphic>
          </wp:inline>
        </w:drawing>
      </w:r>
    </w:p>
    <w:p w:rsidR="00FA6DE5" w:rsidRPr="005B1A8D" w:rsidRDefault="00FA6DE5" w:rsidP="00FA6DE5">
      <w:pPr>
        <w:autoSpaceDE w:val="0"/>
        <w:autoSpaceDN w:val="0"/>
        <w:spacing w:line="240" w:lineRule="auto"/>
        <w:jc w:val="center"/>
        <w:rPr>
          <w:rFonts w:asciiTheme="majorBidi" w:hAnsiTheme="majorBidi" w:cstheme="majorBidi"/>
          <w:i/>
          <w:iCs/>
          <w:noProof/>
          <w:lang w:val="en-GB" w:eastAsia="en-GB"/>
        </w:rPr>
      </w:pPr>
      <w:r w:rsidRPr="005B1A8D">
        <w:rPr>
          <w:rFonts w:asciiTheme="majorBidi" w:hAnsiTheme="majorBidi" w:cstheme="majorBidi"/>
          <w:i/>
          <w:iCs/>
          <w:noProof/>
          <w:lang w:val="en-GB" w:eastAsia="en-GB"/>
        </w:rPr>
        <w:t>Fig. 22: Average monthly rainfall for Scenario A2, relative to baseline period.</w:t>
      </w:r>
    </w:p>
    <w:p w:rsidR="00FA6DE5" w:rsidRPr="005B1A8D" w:rsidRDefault="00FA6DE5" w:rsidP="00FA6DE5">
      <w:pPr>
        <w:spacing w:line="240" w:lineRule="auto"/>
        <w:jc w:val="center"/>
        <w:rPr>
          <w:rFonts w:asciiTheme="majorBidi" w:hAnsiTheme="majorBidi" w:cstheme="majorBidi"/>
          <w:noProof/>
          <w:sz w:val="28"/>
          <w:szCs w:val="28"/>
          <w:lang w:eastAsia="en-GB"/>
        </w:rPr>
      </w:pPr>
      <w:r w:rsidRPr="005B1A8D">
        <w:rPr>
          <w:rFonts w:asciiTheme="majorBidi" w:eastAsia="Calibri" w:hAnsiTheme="majorBidi" w:cstheme="majorBidi"/>
          <w:noProof/>
          <w:rtl/>
          <w:lang w:eastAsia="en-US"/>
        </w:rPr>
        <w:drawing>
          <wp:inline distT="0" distB="0" distL="0" distR="0" wp14:anchorId="6D722DAC" wp14:editId="504F04B6">
            <wp:extent cx="3079018" cy="1366292"/>
            <wp:effectExtent l="38100" t="38100" r="45720" b="43815"/>
            <wp:docPr id="26" name="Picture 1" descr="C:\Users\HP-PC\Downloads\Climate Change and Future Long-Term Trends of-12-12-page-00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742034" name="Picture 1" descr="C:\Users\HP-PC\Downloads\Climate Change and Future Long-Term Trends of-12-12-page-001 (1).jpg"/>
                    <pic:cNvPicPr>
                      <a:picLocks noChangeAspect="1" noChangeArrowheads="1"/>
                    </pic:cNvPicPr>
                  </pic:nvPicPr>
                  <pic:blipFill>
                    <a:blip r:embed="rId29" cstate="print"/>
                    <a:srcRect l="22955" t="29236" r="22698" b="53342"/>
                    <a:stretch>
                      <a:fillRect/>
                    </a:stretch>
                  </pic:blipFill>
                  <pic:spPr bwMode="auto">
                    <a:xfrm>
                      <a:off x="0" y="0"/>
                      <a:ext cx="3109439" cy="1379791"/>
                    </a:xfrm>
                    <a:prstGeom prst="rect">
                      <a:avLst/>
                    </a:prstGeom>
                    <a:noFill/>
                    <a:ln w="28575">
                      <a:solidFill>
                        <a:sysClr val="windowText" lastClr="000000"/>
                      </a:solidFill>
                      <a:miter lim="800000"/>
                      <a:headEnd/>
                      <a:tailEnd/>
                    </a:ln>
                  </pic:spPr>
                </pic:pic>
              </a:graphicData>
            </a:graphic>
          </wp:inline>
        </w:drawing>
      </w:r>
    </w:p>
    <w:p w:rsidR="00FA6DE5" w:rsidRPr="005B1A8D" w:rsidRDefault="00FA6DE5" w:rsidP="00FA6DE5">
      <w:pPr>
        <w:spacing w:line="240" w:lineRule="auto"/>
        <w:jc w:val="center"/>
        <w:rPr>
          <w:rFonts w:asciiTheme="majorBidi" w:hAnsiTheme="majorBidi" w:cstheme="majorBidi"/>
          <w:i/>
          <w:iCs/>
          <w:noProof/>
          <w:lang w:val="en-GB" w:eastAsia="en-GB"/>
        </w:rPr>
      </w:pPr>
      <w:r w:rsidRPr="005B1A8D">
        <w:rPr>
          <w:rFonts w:asciiTheme="majorBidi" w:hAnsiTheme="majorBidi" w:cstheme="majorBidi"/>
          <w:i/>
          <w:iCs/>
          <w:noProof/>
          <w:lang w:val="en-GB" w:eastAsia="en-GB"/>
        </w:rPr>
        <w:t>Fig 23: Average monthly rainfall Scenario B2, relative to the baseline period.</w:t>
      </w:r>
    </w:p>
    <w:p w:rsidR="00FA6DE5" w:rsidRPr="005B1A8D" w:rsidRDefault="00FA6DE5" w:rsidP="00FA6DE5">
      <w:pPr>
        <w:spacing w:line="240" w:lineRule="auto"/>
        <w:rPr>
          <w:rFonts w:asciiTheme="majorBidi" w:hAnsiTheme="majorBidi" w:cstheme="majorBidi"/>
          <w:b/>
          <w:bCs/>
          <w:noProof/>
          <w:sz w:val="28"/>
          <w:szCs w:val="28"/>
          <w:lang w:eastAsia="en-GB"/>
        </w:rPr>
      </w:pPr>
      <w:r w:rsidRPr="005B1A8D">
        <w:rPr>
          <w:rFonts w:asciiTheme="majorBidi" w:hAnsiTheme="majorBidi" w:cstheme="majorBidi"/>
          <w:b/>
          <w:bCs/>
          <w:noProof/>
          <w:sz w:val="28"/>
          <w:szCs w:val="28"/>
          <w:lang w:eastAsia="en-GB"/>
        </w:rPr>
        <w:t xml:space="preserve">5.2. Climate Change Impacts over the Greater Zab River Basin </w:t>
      </w:r>
    </w:p>
    <w:p w:rsidR="00FA6DE5" w:rsidRPr="005B1A8D" w:rsidRDefault="00FA6DE5" w:rsidP="00FA6DE5">
      <w:pPr>
        <w:spacing w:line="240" w:lineRule="auto"/>
        <w:ind w:firstLine="1304"/>
        <w:rPr>
          <w:rFonts w:asciiTheme="majorBidi" w:hAnsiTheme="majorBidi" w:cstheme="majorBidi"/>
          <w:b/>
          <w:bCs/>
          <w:noProof/>
          <w:sz w:val="28"/>
          <w:szCs w:val="28"/>
          <w:lang w:eastAsia="en-GB"/>
        </w:rPr>
      </w:pPr>
      <w:r w:rsidRPr="005B1A8D">
        <w:rPr>
          <w:rFonts w:asciiTheme="majorBidi" w:hAnsiTheme="majorBidi" w:cstheme="majorBidi"/>
          <w:noProof/>
          <w:sz w:val="28"/>
          <w:szCs w:val="28"/>
          <w:lang w:eastAsia="en-GB"/>
        </w:rPr>
        <w:t xml:space="preserve">Another study dealing with the Greater Zab river basin was performed by </w:t>
      </w:r>
      <w:r w:rsidRPr="005B1A8D">
        <w:rPr>
          <w:rFonts w:asciiTheme="majorBidi" w:hAnsiTheme="majorBidi" w:cstheme="majorBidi"/>
          <w:sz w:val="28"/>
          <w:szCs w:val="28"/>
        </w:rPr>
        <w:t>[41]</w:t>
      </w:r>
      <w:r w:rsidRPr="005B1A8D">
        <w:rPr>
          <w:rFonts w:asciiTheme="majorBidi" w:hAnsiTheme="majorBidi" w:cstheme="majorBidi"/>
          <w:noProof/>
          <w:sz w:val="28"/>
          <w:szCs w:val="28"/>
          <w:lang w:eastAsia="en-GB"/>
        </w:rPr>
        <w:t>. This Tigris River tributary drains an area of 26,473 km2 in Turkey and Iraq. The terrain is mountainous with elevation ranging from 180 m to 4000 m above sea level (Fig.24).</w:t>
      </w:r>
    </w:p>
    <w:p w:rsidR="00FA6DE5" w:rsidRPr="005B1A8D" w:rsidRDefault="00FA6DE5" w:rsidP="00FA6DE5">
      <w:pPr>
        <w:spacing w:line="240" w:lineRule="auto"/>
        <w:jc w:val="center"/>
        <w:rPr>
          <w:rFonts w:asciiTheme="majorBidi" w:hAnsiTheme="majorBidi" w:cstheme="majorBidi"/>
          <w:noProof/>
          <w:sz w:val="28"/>
          <w:szCs w:val="28"/>
          <w:lang w:eastAsia="en-GB"/>
        </w:rPr>
      </w:pPr>
      <w:r w:rsidRPr="005B1A8D">
        <w:rPr>
          <w:rFonts w:asciiTheme="majorBidi" w:hAnsiTheme="majorBidi" w:cstheme="majorBidi"/>
          <w:noProof/>
          <w:rtl/>
          <w:lang w:eastAsia="en-US"/>
        </w:rPr>
        <w:drawing>
          <wp:inline distT="0" distB="0" distL="0" distR="0" wp14:anchorId="0274A33F" wp14:editId="4FA7554B">
            <wp:extent cx="3528495" cy="1661012"/>
            <wp:effectExtent l="38100" t="38100" r="34290" b="34925"/>
            <wp:docPr id="27" name="Picture 1" descr="C:\Users\HP-PC\Downloads\Climate Change Impacts on Water Resources of Greater Zab River,  Iraq-2-2-p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325050" name="Picture 1" descr="C:\Users\HP-PC\Downloads\Climate Change Impacts on Water Resources of Greater Zab River,  Iraq-2-2-page-001.jpg"/>
                    <pic:cNvPicPr>
                      <a:picLocks noChangeAspect="1" noChangeArrowheads="1"/>
                    </pic:cNvPicPr>
                  </pic:nvPicPr>
                  <pic:blipFill>
                    <a:blip r:embed="rId30" cstate="print"/>
                    <a:stretch>
                      <a:fillRect/>
                    </a:stretch>
                  </pic:blipFill>
                  <pic:spPr bwMode="auto">
                    <a:xfrm>
                      <a:off x="0" y="0"/>
                      <a:ext cx="3563376" cy="1677432"/>
                    </a:xfrm>
                    <a:prstGeom prst="rect">
                      <a:avLst/>
                    </a:prstGeom>
                    <a:noFill/>
                    <a:ln w="28575">
                      <a:solidFill>
                        <a:schemeClr val="tx1"/>
                      </a:solidFill>
                      <a:miter lim="800000"/>
                      <a:headEnd/>
                      <a:tailEnd/>
                    </a:ln>
                  </pic:spPr>
                </pic:pic>
              </a:graphicData>
            </a:graphic>
          </wp:inline>
        </w:drawing>
      </w:r>
    </w:p>
    <w:p w:rsidR="00FA6DE5" w:rsidRPr="005B1A8D" w:rsidRDefault="00FA6DE5" w:rsidP="00FA6DE5">
      <w:pPr>
        <w:spacing w:line="240" w:lineRule="auto"/>
        <w:jc w:val="center"/>
        <w:rPr>
          <w:rFonts w:asciiTheme="majorBidi" w:hAnsiTheme="majorBidi" w:cstheme="majorBidi"/>
          <w:i/>
          <w:iCs/>
          <w:noProof/>
          <w:lang w:val="en-GB" w:eastAsia="en-GB"/>
        </w:rPr>
      </w:pPr>
      <w:r w:rsidRPr="005B1A8D">
        <w:rPr>
          <w:rFonts w:asciiTheme="majorBidi" w:hAnsiTheme="majorBidi" w:cstheme="majorBidi"/>
          <w:i/>
          <w:iCs/>
          <w:noProof/>
          <w:lang w:val="en-GB" w:eastAsia="en-GB"/>
        </w:rPr>
        <w:t>Fig.24: Greater Zab basin: (a) the location; (b) DEM (digital elevation model).</w:t>
      </w:r>
    </w:p>
    <w:p w:rsidR="00FA6DE5" w:rsidRPr="005B1A8D" w:rsidRDefault="00FA6DE5" w:rsidP="00FA6DE5">
      <w:pPr>
        <w:spacing w:line="240" w:lineRule="auto"/>
        <w:ind w:firstLine="1304"/>
        <w:rPr>
          <w:rFonts w:asciiTheme="majorBidi" w:hAnsiTheme="majorBidi" w:cstheme="majorBidi"/>
          <w:noProof/>
          <w:sz w:val="28"/>
          <w:szCs w:val="28"/>
          <w:lang w:eastAsia="en-GB"/>
        </w:rPr>
      </w:pPr>
      <w:r w:rsidRPr="005B1A8D">
        <w:rPr>
          <w:rFonts w:asciiTheme="majorBidi" w:hAnsiTheme="majorBidi" w:cstheme="majorBidi"/>
          <w:noProof/>
          <w:sz w:val="28"/>
          <w:szCs w:val="28"/>
          <w:lang w:eastAsia="en-GB"/>
        </w:rPr>
        <w:t>The river has four tributaries; Shamdenan, Hagi Beg, Rawandooz and Khazer-Gomel rivers. Mean annual temperature over this area is 14 ºC and the mean annual precipitation is 570 mm ranging from 350 mm to 1000 mm which mainly falls in winter and spring (48.9%) and it includes snow fall, (12.9%) in autumn and only (0.57%) in summer.</w:t>
      </w:r>
    </w:p>
    <w:p w:rsidR="00FA6DE5" w:rsidRPr="005B1A8D" w:rsidRDefault="00FA6DE5" w:rsidP="00FA6DE5">
      <w:pPr>
        <w:spacing w:line="240" w:lineRule="auto"/>
        <w:ind w:firstLine="1304"/>
        <w:rPr>
          <w:rFonts w:asciiTheme="majorBidi" w:hAnsiTheme="majorBidi" w:cstheme="majorBidi"/>
          <w:noProof/>
          <w:sz w:val="28"/>
          <w:szCs w:val="28"/>
          <w:lang w:eastAsia="en-GB"/>
        </w:rPr>
      </w:pPr>
      <w:r w:rsidRPr="005B1A8D">
        <w:rPr>
          <w:rFonts w:asciiTheme="majorBidi" w:hAnsiTheme="majorBidi" w:cstheme="majorBidi"/>
          <w:noProof/>
          <w:sz w:val="28"/>
          <w:szCs w:val="28"/>
          <w:lang w:eastAsia="en-GB"/>
        </w:rPr>
        <w:t xml:space="preserve">Modeling procedure was used to forecast future climate </w:t>
      </w:r>
      <w:r w:rsidRPr="005B1A8D">
        <w:rPr>
          <w:rFonts w:asciiTheme="majorBidi" w:hAnsiTheme="majorBidi" w:cstheme="majorBidi"/>
          <w:noProof/>
          <w:sz w:val="28"/>
          <w:szCs w:val="28"/>
          <w:lang w:eastAsia="en-GB"/>
        </w:rPr>
        <w:lastRenderedPageBreak/>
        <w:t>change impacts on the basin by utilizing six GCMs from CMIP3 namely CGC-M3.1/T47, CNRM-CM3, GFDL-CM2.1, IPSLCM4, MIROC3.2 (medres) and MRI CGCM2.3.2 (general circulation models) for the forecast of future weather changes, together with   the Soil and Water Assessment Tool (SWAT) which has been developed to model and quantify the impacts of land management in large basins and to predict long-term changes.   The emission scenarios inputted were six (IPCC) emission scenarios of (AIB, A2, B1) types and projections were carried out over two future periods; ((2046-2064) and (2080-2100). The baseline period considered was (1980-2010) shown in figure 25.</w:t>
      </w:r>
    </w:p>
    <w:p w:rsidR="00FA6DE5" w:rsidRPr="005B1A8D" w:rsidRDefault="00FA6DE5" w:rsidP="00FA6DE5">
      <w:pPr>
        <w:spacing w:line="240" w:lineRule="auto"/>
        <w:jc w:val="center"/>
        <w:rPr>
          <w:rFonts w:asciiTheme="majorBidi" w:hAnsiTheme="majorBidi" w:cstheme="majorBidi"/>
          <w:noProof/>
          <w:sz w:val="28"/>
          <w:szCs w:val="28"/>
          <w:lang w:eastAsia="en-GB"/>
        </w:rPr>
      </w:pPr>
      <w:r w:rsidRPr="005B1A8D">
        <w:rPr>
          <w:rFonts w:asciiTheme="majorBidi" w:hAnsiTheme="majorBidi" w:cstheme="majorBidi"/>
          <w:noProof/>
          <w:rtl/>
          <w:lang w:eastAsia="en-US"/>
        </w:rPr>
        <w:drawing>
          <wp:inline distT="0" distB="0" distL="0" distR="0" wp14:anchorId="617FFAEF" wp14:editId="05CA87C2">
            <wp:extent cx="5105855" cy="2468880"/>
            <wp:effectExtent l="57150" t="38100" r="37645" b="26670"/>
            <wp:docPr id="28" name="Picture 1" descr="C:\Users\HP-PC\Downloads\6-6 greater zab catchment-page-00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222341" name="Picture 1" descr="C:\Users\HP-PC\Downloads\6-6 greater zab catchment-page-001 (1).jpg"/>
                    <pic:cNvPicPr>
                      <a:picLocks noChangeAspect="1" noChangeArrowheads="1"/>
                    </pic:cNvPicPr>
                  </pic:nvPicPr>
                  <pic:blipFill>
                    <a:blip r:embed="rId31" cstate="print"/>
                    <a:stretch>
                      <a:fillRect/>
                    </a:stretch>
                  </pic:blipFill>
                  <pic:spPr bwMode="auto">
                    <a:xfrm>
                      <a:off x="0" y="0"/>
                      <a:ext cx="5105855" cy="2468880"/>
                    </a:xfrm>
                    <a:prstGeom prst="rect">
                      <a:avLst/>
                    </a:prstGeom>
                    <a:noFill/>
                    <a:ln w="28575">
                      <a:solidFill>
                        <a:schemeClr val="tx1"/>
                      </a:solidFill>
                      <a:miter lim="800000"/>
                      <a:headEnd/>
                      <a:tailEnd/>
                    </a:ln>
                  </pic:spPr>
                </pic:pic>
              </a:graphicData>
            </a:graphic>
          </wp:inline>
        </w:drawing>
      </w:r>
    </w:p>
    <w:p w:rsidR="00FA6DE5" w:rsidRPr="005B1A8D" w:rsidRDefault="00FA6DE5" w:rsidP="00FA6DE5">
      <w:pPr>
        <w:spacing w:line="240" w:lineRule="auto"/>
        <w:jc w:val="center"/>
        <w:rPr>
          <w:rFonts w:asciiTheme="majorBidi" w:hAnsiTheme="majorBidi" w:cstheme="majorBidi"/>
          <w:i/>
          <w:iCs/>
          <w:noProof/>
          <w:lang w:val="en-GB" w:eastAsia="en-GB"/>
        </w:rPr>
      </w:pPr>
      <w:r w:rsidRPr="005B1A8D">
        <w:rPr>
          <w:rFonts w:asciiTheme="majorBidi" w:hAnsiTheme="majorBidi" w:cstheme="majorBidi"/>
          <w:i/>
          <w:iCs/>
          <w:noProof/>
          <w:lang w:val="en-GB" w:eastAsia="en-GB"/>
        </w:rPr>
        <w:t>Fig. 25: For the baseline period of 1980~2010: (a) average of precipitation; (b) average of blue water; (c) average of green water storage.</w:t>
      </w:r>
    </w:p>
    <w:p w:rsidR="00FA6DE5" w:rsidRDefault="00FA6DE5" w:rsidP="00FA6DE5">
      <w:pPr>
        <w:spacing w:line="240" w:lineRule="auto"/>
        <w:ind w:firstLine="1304"/>
        <w:rPr>
          <w:rFonts w:asciiTheme="majorBidi" w:hAnsiTheme="majorBidi" w:cstheme="majorBidi"/>
          <w:sz w:val="28"/>
          <w:szCs w:val="28"/>
          <w:lang w:eastAsia="en-GB"/>
        </w:rPr>
      </w:pPr>
      <w:r w:rsidRPr="005B1A8D">
        <w:rPr>
          <w:rFonts w:asciiTheme="majorBidi" w:hAnsiTheme="majorBidi" w:cstheme="majorBidi"/>
          <w:sz w:val="28"/>
          <w:szCs w:val="28"/>
          <w:lang w:eastAsia="en-GB"/>
        </w:rPr>
        <w:t>One of the SWAT advantages is its ability to predict the changes to the (Blue Water) which refers to freshwater in rivers, lakes and aquifers and (Green Water) which is the part of precipitation that is held by soil and vegetation and eventually returns to the atmosphere through evapotranspiration. These types are shown in (Fig. 25). Temperature and precipitation outputs of the GCM models for the three selected emission scenarios with the base period (1980-2010) were injected in the SWAT model to get their projected values for the two selected future periods.</w:t>
      </w:r>
    </w:p>
    <w:p w:rsidR="00FA6DE5" w:rsidRPr="005B1A8D" w:rsidRDefault="00FA6DE5" w:rsidP="00FA6DE5">
      <w:pPr>
        <w:spacing w:line="240" w:lineRule="auto"/>
        <w:rPr>
          <w:rFonts w:asciiTheme="majorBidi" w:hAnsiTheme="majorBidi" w:cstheme="majorBidi"/>
          <w:sz w:val="28"/>
          <w:szCs w:val="28"/>
          <w:lang w:eastAsia="en-GB"/>
        </w:rPr>
      </w:pPr>
    </w:p>
    <w:p w:rsidR="00FA6DE5" w:rsidRPr="005B1A8D" w:rsidRDefault="00FA6DE5" w:rsidP="00FA6DE5">
      <w:pPr>
        <w:spacing w:line="240" w:lineRule="auto"/>
        <w:jc w:val="center"/>
        <w:rPr>
          <w:rFonts w:asciiTheme="majorBidi" w:hAnsiTheme="majorBidi" w:cstheme="majorBidi"/>
          <w:i/>
          <w:iCs/>
          <w:noProof/>
          <w:lang w:val="en-GB" w:eastAsia="en-GB"/>
        </w:rPr>
      </w:pPr>
      <w:r w:rsidRPr="005B1A8D">
        <w:rPr>
          <w:rFonts w:asciiTheme="majorBidi" w:hAnsiTheme="majorBidi" w:cstheme="majorBidi"/>
          <w:i/>
          <w:iCs/>
          <w:noProof/>
          <w:lang w:val="en-GB" w:eastAsia="en-GB"/>
        </w:rPr>
        <w:t>Table 3.GCM predicted changes in the mean annual temperature of the future under A2, A1B and B1 scenarios.</w:t>
      </w:r>
    </w:p>
    <w:p w:rsidR="00FA6DE5" w:rsidRPr="00635D03" w:rsidRDefault="00FA6DE5" w:rsidP="00FA6DE5">
      <w:pPr>
        <w:spacing w:line="240" w:lineRule="auto"/>
        <w:ind w:firstLine="1304"/>
        <w:rPr>
          <w:rFonts w:asciiTheme="majorBidi" w:hAnsiTheme="majorBidi" w:cstheme="majorBidi"/>
          <w:sz w:val="28"/>
          <w:szCs w:val="28"/>
          <w:lang w:val="en-GB" w:eastAsia="en-GB"/>
        </w:rPr>
      </w:pPr>
    </w:p>
    <w:tbl>
      <w:tblPr>
        <w:tblStyle w:val="TableGrid"/>
        <w:tblpPr w:leftFromText="180" w:rightFromText="180" w:vertAnchor="text" w:horzAnchor="margin" w:tblpXSpec="center" w:tblpY="-43"/>
        <w:bidiVisual/>
        <w:tblW w:w="6379" w:type="dxa"/>
        <w:tblLook w:val="04A0" w:firstRow="1" w:lastRow="0" w:firstColumn="1" w:lastColumn="0" w:noHBand="0" w:noVBand="1"/>
      </w:tblPr>
      <w:tblGrid>
        <w:gridCol w:w="850"/>
        <w:gridCol w:w="854"/>
        <w:gridCol w:w="905"/>
        <w:gridCol w:w="842"/>
        <w:gridCol w:w="977"/>
        <w:gridCol w:w="975"/>
        <w:gridCol w:w="976"/>
      </w:tblGrid>
      <w:tr w:rsidR="00FA6DE5" w:rsidRPr="005B1A8D" w:rsidTr="003D04DC">
        <w:trPr>
          <w:trHeight w:val="676"/>
        </w:trPr>
        <w:tc>
          <w:tcPr>
            <w:tcW w:w="5403" w:type="dxa"/>
            <w:gridSpan w:val="6"/>
            <w:tcBorders>
              <w:top w:val="single" w:sz="12" w:space="0" w:color="auto"/>
              <w:left w:val="single" w:sz="12" w:space="0" w:color="auto"/>
              <w:bottom w:val="single" w:sz="12" w:space="0" w:color="auto"/>
              <w:right w:val="single" w:sz="12" w:space="0" w:color="auto"/>
            </w:tcBorders>
          </w:tcPr>
          <w:p w:rsidR="00FA6DE5" w:rsidRPr="005B1A8D" w:rsidRDefault="00FA6DE5" w:rsidP="003D04DC">
            <w:pPr>
              <w:bidi/>
              <w:rPr>
                <w:rFonts w:asciiTheme="majorBidi" w:hAnsiTheme="majorBidi" w:cstheme="majorBidi"/>
                <w:b/>
                <w:bCs/>
                <w:sz w:val="16"/>
                <w:szCs w:val="16"/>
              </w:rPr>
            </w:pPr>
          </w:p>
          <w:p w:rsidR="00FA6DE5" w:rsidRPr="005B1A8D" w:rsidRDefault="00FA6DE5" w:rsidP="003D04DC">
            <w:pPr>
              <w:bidi/>
              <w:jc w:val="center"/>
              <w:rPr>
                <w:rFonts w:asciiTheme="majorBidi" w:hAnsiTheme="majorBidi" w:cstheme="majorBidi"/>
                <w:b/>
                <w:bCs/>
                <w:sz w:val="16"/>
                <w:szCs w:val="16"/>
                <w:rtl/>
              </w:rPr>
            </w:pPr>
            <w:r w:rsidRPr="005B1A8D">
              <w:rPr>
                <w:rFonts w:asciiTheme="majorBidi" w:hAnsiTheme="majorBidi" w:cstheme="majorBidi"/>
                <w:b/>
                <w:bCs/>
                <w:sz w:val="16"/>
                <w:szCs w:val="16"/>
              </w:rPr>
              <w:t>Annual Change in Temperature + (°C)</w:t>
            </w:r>
          </w:p>
        </w:tc>
        <w:tc>
          <w:tcPr>
            <w:tcW w:w="976" w:type="dxa"/>
            <w:tcBorders>
              <w:top w:val="single" w:sz="12" w:space="0" w:color="auto"/>
              <w:left w:val="single" w:sz="12" w:space="0" w:color="auto"/>
              <w:bottom w:val="single" w:sz="12" w:space="0" w:color="auto"/>
              <w:right w:val="single" w:sz="12" w:space="0" w:color="auto"/>
            </w:tcBorders>
          </w:tcPr>
          <w:p w:rsidR="00FA6DE5" w:rsidRPr="005B1A8D" w:rsidRDefault="00FA6DE5" w:rsidP="003D04DC">
            <w:pPr>
              <w:bidi/>
              <w:jc w:val="center"/>
              <w:rPr>
                <w:rFonts w:asciiTheme="majorBidi" w:hAnsiTheme="majorBidi" w:cstheme="majorBidi"/>
                <w:b/>
                <w:bCs/>
                <w:sz w:val="16"/>
                <w:szCs w:val="16"/>
              </w:rPr>
            </w:pPr>
            <w:r w:rsidRPr="005B1A8D">
              <w:rPr>
                <w:rFonts w:asciiTheme="majorBidi" w:hAnsiTheme="majorBidi" w:cstheme="majorBidi"/>
                <w:b/>
                <w:bCs/>
                <w:sz w:val="16"/>
                <w:szCs w:val="16"/>
              </w:rPr>
              <w:t xml:space="preserve"> </w:t>
            </w:r>
          </w:p>
          <w:p w:rsidR="00FA6DE5" w:rsidRPr="005B1A8D" w:rsidRDefault="00FA6DE5" w:rsidP="003D04DC">
            <w:pPr>
              <w:bidi/>
              <w:jc w:val="center"/>
              <w:rPr>
                <w:rFonts w:asciiTheme="majorBidi" w:hAnsiTheme="majorBidi" w:cstheme="majorBidi"/>
                <w:b/>
                <w:bCs/>
                <w:sz w:val="16"/>
                <w:szCs w:val="16"/>
              </w:rPr>
            </w:pPr>
          </w:p>
          <w:p w:rsidR="00FA6DE5" w:rsidRPr="005B1A8D" w:rsidRDefault="00FA6DE5" w:rsidP="003D04DC">
            <w:pPr>
              <w:bidi/>
              <w:jc w:val="center"/>
              <w:rPr>
                <w:rFonts w:asciiTheme="majorBidi" w:hAnsiTheme="majorBidi" w:cstheme="majorBidi"/>
                <w:b/>
                <w:bCs/>
                <w:sz w:val="16"/>
                <w:szCs w:val="16"/>
                <w:rtl/>
              </w:rPr>
            </w:pPr>
            <w:r w:rsidRPr="005B1A8D">
              <w:rPr>
                <w:rFonts w:asciiTheme="majorBidi" w:hAnsiTheme="majorBidi" w:cstheme="majorBidi"/>
                <w:b/>
                <w:bCs/>
                <w:sz w:val="16"/>
                <w:szCs w:val="16"/>
              </w:rPr>
              <w:t>Period</w:t>
            </w:r>
          </w:p>
        </w:tc>
      </w:tr>
      <w:tr w:rsidR="00FA6DE5" w:rsidRPr="005B1A8D" w:rsidTr="003D04DC">
        <w:trPr>
          <w:trHeight w:val="81"/>
        </w:trPr>
        <w:tc>
          <w:tcPr>
            <w:tcW w:w="850" w:type="dxa"/>
            <w:tcBorders>
              <w:top w:val="single" w:sz="12" w:space="0" w:color="auto"/>
              <w:left w:val="single" w:sz="12" w:space="0" w:color="auto"/>
              <w:bottom w:val="single" w:sz="12" w:space="0" w:color="auto"/>
              <w:right w:val="single" w:sz="12" w:space="0" w:color="auto"/>
            </w:tcBorders>
          </w:tcPr>
          <w:p w:rsidR="00FA6DE5" w:rsidRPr="005B1A8D" w:rsidRDefault="00FA6DE5" w:rsidP="003D04DC">
            <w:pPr>
              <w:bidi/>
              <w:jc w:val="right"/>
              <w:rPr>
                <w:rFonts w:asciiTheme="majorBidi" w:hAnsiTheme="majorBidi" w:cstheme="majorBidi"/>
                <w:b/>
                <w:bCs/>
                <w:sz w:val="16"/>
                <w:szCs w:val="16"/>
                <w:rtl/>
              </w:rPr>
            </w:pPr>
            <w:r w:rsidRPr="005B1A8D">
              <w:rPr>
                <w:rFonts w:asciiTheme="majorBidi" w:hAnsiTheme="majorBidi" w:cstheme="majorBidi"/>
                <w:b/>
                <w:bCs/>
                <w:sz w:val="16"/>
                <w:szCs w:val="16"/>
              </w:rPr>
              <w:t>MRI CGM2 3.2</w:t>
            </w:r>
          </w:p>
        </w:tc>
        <w:tc>
          <w:tcPr>
            <w:tcW w:w="854" w:type="dxa"/>
            <w:tcBorders>
              <w:top w:val="single" w:sz="12" w:space="0" w:color="auto"/>
              <w:left w:val="single" w:sz="12" w:space="0" w:color="auto"/>
              <w:bottom w:val="single" w:sz="12" w:space="0" w:color="auto"/>
              <w:right w:val="single" w:sz="12" w:space="0" w:color="auto"/>
            </w:tcBorders>
          </w:tcPr>
          <w:p w:rsidR="00FA6DE5" w:rsidRPr="005B1A8D" w:rsidRDefault="00FA6DE5" w:rsidP="003D04DC">
            <w:pPr>
              <w:bidi/>
              <w:jc w:val="right"/>
              <w:rPr>
                <w:rFonts w:asciiTheme="majorBidi" w:hAnsiTheme="majorBidi" w:cstheme="majorBidi"/>
                <w:b/>
                <w:bCs/>
                <w:sz w:val="16"/>
                <w:szCs w:val="16"/>
                <w:rtl/>
              </w:rPr>
            </w:pPr>
            <w:r w:rsidRPr="005B1A8D">
              <w:rPr>
                <w:rFonts w:asciiTheme="majorBidi" w:hAnsiTheme="majorBidi" w:cstheme="majorBidi"/>
                <w:b/>
                <w:bCs/>
                <w:sz w:val="16"/>
                <w:szCs w:val="16"/>
              </w:rPr>
              <w:t>MIROC 3.2</w:t>
            </w:r>
          </w:p>
        </w:tc>
        <w:tc>
          <w:tcPr>
            <w:tcW w:w="905" w:type="dxa"/>
            <w:tcBorders>
              <w:top w:val="single" w:sz="12" w:space="0" w:color="auto"/>
              <w:left w:val="single" w:sz="12" w:space="0" w:color="auto"/>
              <w:bottom w:val="single" w:sz="12" w:space="0" w:color="auto"/>
              <w:right w:val="single" w:sz="12" w:space="0" w:color="auto"/>
            </w:tcBorders>
          </w:tcPr>
          <w:p w:rsidR="00FA6DE5" w:rsidRPr="005B1A8D" w:rsidRDefault="00FA6DE5" w:rsidP="003D04DC">
            <w:pPr>
              <w:bidi/>
              <w:jc w:val="center"/>
              <w:rPr>
                <w:rFonts w:asciiTheme="majorBidi" w:hAnsiTheme="majorBidi" w:cstheme="majorBidi"/>
                <w:b/>
                <w:bCs/>
                <w:sz w:val="16"/>
                <w:szCs w:val="16"/>
                <w:rtl/>
              </w:rPr>
            </w:pPr>
            <w:r w:rsidRPr="005B1A8D">
              <w:rPr>
                <w:rFonts w:asciiTheme="majorBidi" w:hAnsiTheme="majorBidi" w:cstheme="majorBidi"/>
                <w:b/>
                <w:bCs/>
                <w:sz w:val="16"/>
                <w:szCs w:val="16"/>
              </w:rPr>
              <w:t>MIROC3. 2</w:t>
            </w:r>
          </w:p>
        </w:tc>
        <w:tc>
          <w:tcPr>
            <w:tcW w:w="842" w:type="dxa"/>
            <w:tcBorders>
              <w:top w:val="single" w:sz="12" w:space="0" w:color="auto"/>
              <w:left w:val="single" w:sz="12" w:space="0" w:color="auto"/>
              <w:bottom w:val="single" w:sz="12" w:space="0" w:color="auto"/>
              <w:right w:val="single" w:sz="12" w:space="0" w:color="auto"/>
            </w:tcBorders>
          </w:tcPr>
          <w:p w:rsidR="00FA6DE5" w:rsidRPr="005B1A8D" w:rsidRDefault="00FA6DE5" w:rsidP="003D04DC">
            <w:pPr>
              <w:bidi/>
              <w:jc w:val="center"/>
              <w:rPr>
                <w:rFonts w:asciiTheme="majorBidi" w:hAnsiTheme="majorBidi" w:cstheme="majorBidi"/>
                <w:b/>
                <w:bCs/>
                <w:sz w:val="16"/>
                <w:szCs w:val="16"/>
                <w:rtl/>
              </w:rPr>
            </w:pPr>
            <w:r w:rsidRPr="005B1A8D">
              <w:rPr>
                <w:rFonts w:asciiTheme="majorBidi" w:hAnsiTheme="majorBidi" w:cstheme="majorBidi"/>
                <w:b/>
                <w:bCs/>
                <w:sz w:val="16"/>
                <w:szCs w:val="16"/>
              </w:rPr>
              <w:t>GFDL-CM 2. 1</w:t>
            </w:r>
          </w:p>
        </w:tc>
        <w:tc>
          <w:tcPr>
            <w:tcW w:w="977" w:type="dxa"/>
            <w:tcBorders>
              <w:top w:val="single" w:sz="12" w:space="0" w:color="auto"/>
              <w:left w:val="single" w:sz="12" w:space="0" w:color="auto"/>
              <w:bottom w:val="single" w:sz="12" w:space="0" w:color="auto"/>
              <w:right w:val="single" w:sz="12" w:space="0" w:color="auto"/>
            </w:tcBorders>
          </w:tcPr>
          <w:p w:rsidR="00FA6DE5" w:rsidRPr="005B1A8D" w:rsidRDefault="00FA6DE5" w:rsidP="003D04DC">
            <w:pPr>
              <w:bidi/>
              <w:jc w:val="center"/>
              <w:rPr>
                <w:rFonts w:asciiTheme="majorBidi" w:hAnsiTheme="majorBidi" w:cstheme="majorBidi"/>
                <w:b/>
                <w:bCs/>
                <w:sz w:val="16"/>
                <w:szCs w:val="16"/>
                <w:rtl/>
              </w:rPr>
            </w:pPr>
            <w:r w:rsidRPr="005B1A8D">
              <w:rPr>
                <w:rFonts w:asciiTheme="majorBidi" w:hAnsiTheme="majorBidi" w:cstheme="majorBidi"/>
                <w:b/>
                <w:bCs/>
                <w:sz w:val="16"/>
                <w:szCs w:val="16"/>
              </w:rPr>
              <w:t>CNRM-CM3</w:t>
            </w:r>
          </w:p>
        </w:tc>
        <w:tc>
          <w:tcPr>
            <w:tcW w:w="975" w:type="dxa"/>
            <w:tcBorders>
              <w:top w:val="single" w:sz="12" w:space="0" w:color="auto"/>
              <w:left w:val="single" w:sz="12" w:space="0" w:color="auto"/>
              <w:bottom w:val="single" w:sz="12" w:space="0" w:color="auto"/>
              <w:right w:val="single" w:sz="12" w:space="0" w:color="auto"/>
            </w:tcBorders>
          </w:tcPr>
          <w:p w:rsidR="00FA6DE5" w:rsidRPr="005B1A8D" w:rsidRDefault="00FA6DE5" w:rsidP="003D04DC">
            <w:pPr>
              <w:bidi/>
              <w:jc w:val="center"/>
              <w:rPr>
                <w:rFonts w:asciiTheme="majorBidi" w:hAnsiTheme="majorBidi" w:cstheme="majorBidi"/>
                <w:b/>
                <w:bCs/>
                <w:sz w:val="16"/>
                <w:szCs w:val="16"/>
              </w:rPr>
            </w:pPr>
            <w:r w:rsidRPr="005B1A8D">
              <w:rPr>
                <w:rFonts w:asciiTheme="majorBidi" w:hAnsiTheme="majorBidi" w:cstheme="majorBidi"/>
                <w:b/>
                <w:bCs/>
                <w:sz w:val="16"/>
                <w:szCs w:val="16"/>
              </w:rPr>
              <w:t>CGC-M31/447</w:t>
            </w:r>
          </w:p>
          <w:p w:rsidR="00FA6DE5" w:rsidRPr="005B1A8D" w:rsidRDefault="00FA6DE5" w:rsidP="003D04DC">
            <w:pPr>
              <w:bidi/>
              <w:jc w:val="center"/>
              <w:rPr>
                <w:rFonts w:asciiTheme="majorBidi" w:hAnsiTheme="majorBidi" w:cstheme="majorBidi"/>
                <w:b/>
                <w:bCs/>
                <w:sz w:val="16"/>
                <w:szCs w:val="16"/>
                <w:rtl/>
              </w:rPr>
            </w:pPr>
          </w:p>
        </w:tc>
        <w:tc>
          <w:tcPr>
            <w:tcW w:w="976" w:type="dxa"/>
            <w:tcBorders>
              <w:top w:val="single" w:sz="12" w:space="0" w:color="auto"/>
              <w:left w:val="single" w:sz="12" w:space="0" w:color="auto"/>
              <w:bottom w:val="single" w:sz="12" w:space="0" w:color="auto"/>
              <w:right w:val="single" w:sz="12" w:space="0" w:color="auto"/>
            </w:tcBorders>
          </w:tcPr>
          <w:p w:rsidR="00FA6DE5" w:rsidRPr="005B1A8D" w:rsidRDefault="00FA6DE5" w:rsidP="003D04DC">
            <w:pPr>
              <w:bidi/>
              <w:jc w:val="center"/>
              <w:rPr>
                <w:rFonts w:asciiTheme="majorBidi" w:hAnsiTheme="majorBidi" w:cstheme="majorBidi"/>
                <w:b/>
                <w:bCs/>
                <w:sz w:val="16"/>
                <w:szCs w:val="16"/>
              </w:rPr>
            </w:pPr>
          </w:p>
        </w:tc>
      </w:tr>
      <w:tr w:rsidR="00FA6DE5" w:rsidRPr="005B1A8D" w:rsidTr="003D04DC">
        <w:trPr>
          <w:trHeight w:val="242"/>
        </w:trPr>
        <w:tc>
          <w:tcPr>
            <w:tcW w:w="6379" w:type="dxa"/>
            <w:gridSpan w:val="7"/>
            <w:tcBorders>
              <w:top w:val="single" w:sz="12" w:space="0" w:color="auto"/>
              <w:left w:val="single" w:sz="12" w:space="0" w:color="auto"/>
              <w:bottom w:val="single" w:sz="12" w:space="0" w:color="auto"/>
              <w:right w:val="single" w:sz="12" w:space="0" w:color="auto"/>
            </w:tcBorders>
            <w:shd w:val="clear" w:color="auto" w:fill="EEECE1" w:themeFill="background2"/>
          </w:tcPr>
          <w:p w:rsidR="00FA6DE5" w:rsidRPr="005B1A8D" w:rsidRDefault="00FA6DE5" w:rsidP="003D04DC">
            <w:pPr>
              <w:bidi/>
              <w:jc w:val="right"/>
              <w:rPr>
                <w:rFonts w:asciiTheme="majorBidi" w:hAnsiTheme="majorBidi" w:cstheme="majorBidi"/>
                <w:b/>
                <w:bCs/>
                <w:sz w:val="16"/>
                <w:szCs w:val="16"/>
                <w:rtl/>
              </w:rPr>
            </w:pPr>
            <w:r w:rsidRPr="005B1A8D">
              <w:rPr>
                <w:rFonts w:asciiTheme="majorBidi" w:hAnsiTheme="majorBidi" w:cstheme="majorBidi"/>
                <w:b/>
                <w:bCs/>
                <w:sz w:val="16"/>
                <w:szCs w:val="16"/>
              </w:rPr>
              <w:t>A</w:t>
            </w:r>
          </w:p>
        </w:tc>
      </w:tr>
      <w:tr w:rsidR="00FA6DE5" w:rsidRPr="005B1A8D" w:rsidTr="003D04DC">
        <w:trPr>
          <w:trHeight w:val="687"/>
        </w:trPr>
        <w:tc>
          <w:tcPr>
            <w:tcW w:w="850" w:type="dxa"/>
            <w:tcBorders>
              <w:top w:val="single" w:sz="12" w:space="0" w:color="auto"/>
              <w:left w:val="single" w:sz="12" w:space="0" w:color="auto"/>
              <w:bottom w:val="single" w:sz="12" w:space="0" w:color="auto"/>
              <w:right w:val="single" w:sz="12" w:space="0" w:color="auto"/>
            </w:tcBorders>
          </w:tcPr>
          <w:p w:rsidR="00FA6DE5" w:rsidRPr="005B1A8D" w:rsidRDefault="00FA6DE5" w:rsidP="003D04DC">
            <w:pPr>
              <w:bidi/>
              <w:jc w:val="center"/>
              <w:rPr>
                <w:rFonts w:asciiTheme="majorBidi" w:hAnsiTheme="majorBidi" w:cstheme="majorBidi"/>
                <w:b/>
                <w:bCs/>
                <w:sz w:val="16"/>
                <w:szCs w:val="16"/>
              </w:rPr>
            </w:pPr>
            <w:r w:rsidRPr="005B1A8D">
              <w:rPr>
                <w:rFonts w:asciiTheme="majorBidi" w:hAnsiTheme="majorBidi" w:cstheme="majorBidi"/>
                <w:b/>
                <w:bCs/>
                <w:sz w:val="16"/>
                <w:szCs w:val="16"/>
              </w:rPr>
              <w:t>1.6</w:t>
            </w:r>
          </w:p>
          <w:p w:rsidR="00FA6DE5" w:rsidRPr="005B1A8D" w:rsidRDefault="00FA6DE5" w:rsidP="003D04DC">
            <w:pPr>
              <w:bidi/>
              <w:jc w:val="center"/>
              <w:rPr>
                <w:rFonts w:asciiTheme="majorBidi" w:hAnsiTheme="majorBidi" w:cstheme="majorBidi"/>
                <w:b/>
                <w:bCs/>
                <w:sz w:val="16"/>
                <w:szCs w:val="16"/>
                <w:rtl/>
              </w:rPr>
            </w:pPr>
            <w:r w:rsidRPr="005B1A8D">
              <w:rPr>
                <w:rFonts w:asciiTheme="majorBidi" w:hAnsiTheme="majorBidi" w:cstheme="majorBidi"/>
                <w:b/>
                <w:bCs/>
                <w:sz w:val="16"/>
                <w:szCs w:val="16"/>
              </w:rPr>
              <w:t>4.3</w:t>
            </w:r>
          </w:p>
        </w:tc>
        <w:tc>
          <w:tcPr>
            <w:tcW w:w="854" w:type="dxa"/>
            <w:tcBorders>
              <w:top w:val="single" w:sz="12" w:space="0" w:color="auto"/>
              <w:left w:val="single" w:sz="12" w:space="0" w:color="auto"/>
              <w:bottom w:val="single" w:sz="12" w:space="0" w:color="auto"/>
              <w:right w:val="single" w:sz="12" w:space="0" w:color="auto"/>
            </w:tcBorders>
          </w:tcPr>
          <w:p w:rsidR="00FA6DE5" w:rsidRPr="005B1A8D" w:rsidRDefault="00FA6DE5" w:rsidP="003D04DC">
            <w:pPr>
              <w:bidi/>
              <w:jc w:val="center"/>
              <w:rPr>
                <w:rFonts w:asciiTheme="majorBidi" w:hAnsiTheme="majorBidi" w:cstheme="majorBidi"/>
                <w:b/>
                <w:bCs/>
                <w:sz w:val="16"/>
                <w:szCs w:val="16"/>
              </w:rPr>
            </w:pPr>
            <w:r w:rsidRPr="005B1A8D">
              <w:rPr>
                <w:rFonts w:asciiTheme="majorBidi" w:hAnsiTheme="majorBidi" w:cstheme="majorBidi"/>
                <w:b/>
                <w:bCs/>
                <w:sz w:val="16"/>
                <w:szCs w:val="16"/>
              </w:rPr>
              <w:t>2.7</w:t>
            </w:r>
          </w:p>
          <w:p w:rsidR="00FA6DE5" w:rsidRPr="005B1A8D" w:rsidRDefault="00FA6DE5" w:rsidP="003D04DC">
            <w:pPr>
              <w:bidi/>
              <w:jc w:val="center"/>
              <w:rPr>
                <w:rFonts w:asciiTheme="majorBidi" w:hAnsiTheme="majorBidi" w:cstheme="majorBidi"/>
                <w:b/>
                <w:bCs/>
                <w:sz w:val="16"/>
                <w:szCs w:val="16"/>
                <w:rtl/>
              </w:rPr>
            </w:pPr>
            <w:r w:rsidRPr="005B1A8D">
              <w:rPr>
                <w:rFonts w:asciiTheme="majorBidi" w:hAnsiTheme="majorBidi" w:cstheme="majorBidi"/>
                <w:b/>
                <w:bCs/>
                <w:sz w:val="16"/>
                <w:szCs w:val="16"/>
              </w:rPr>
              <w:t>3.2</w:t>
            </w:r>
          </w:p>
        </w:tc>
        <w:tc>
          <w:tcPr>
            <w:tcW w:w="905" w:type="dxa"/>
            <w:tcBorders>
              <w:top w:val="single" w:sz="12" w:space="0" w:color="auto"/>
              <w:left w:val="single" w:sz="12" w:space="0" w:color="auto"/>
              <w:bottom w:val="single" w:sz="12" w:space="0" w:color="auto"/>
              <w:right w:val="single" w:sz="12" w:space="0" w:color="auto"/>
            </w:tcBorders>
          </w:tcPr>
          <w:p w:rsidR="00FA6DE5" w:rsidRPr="005B1A8D" w:rsidRDefault="00FA6DE5" w:rsidP="003D04DC">
            <w:pPr>
              <w:bidi/>
              <w:jc w:val="center"/>
              <w:rPr>
                <w:rFonts w:asciiTheme="majorBidi" w:hAnsiTheme="majorBidi" w:cstheme="majorBidi"/>
                <w:b/>
                <w:bCs/>
                <w:sz w:val="16"/>
                <w:szCs w:val="16"/>
              </w:rPr>
            </w:pPr>
            <w:r w:rsidRPr="005B1A8D">
              <w:rPr>
                <w:rFonts w:asciiTheme="majorBidi" w:hAnsiTheme="majorBidi" w:cstheme="majorBidi"/>
                <w:b/>
                <w:bCs/>
                <w:sz w:val="16"/>
                <w:szCs w:val="16"/>
              </w:rPr>
              <w:t>3.2</w:t>
            </w:r>
          </w:p>
          <w:p w:rsidR="00FA6DE5" w:rsidRPr="005B1A8D" w:rsidRDefault="00FA6DE5" w:rsidP="003D04DC">
            <w:pPr>
              <w:bidi/>
              <w:jc w:val="center"/>
              <w:rPr>
                <w:rFonts w:asciiTheme="majorBidi" w:hAnsiTheme="majorBidi" w:cstheme="majorBidi"/>
                <w:b/>
                <w:bCs/>
                <w:sz w:val="16"/>
                <w:szCs w:val="16"/>
                <w:rtl/>
              </w:rPr>
            </w:pPr>
            <w:r w:rsidRPr="005B1A8D">
              <w:rPr>
                <w:rFonts w:asciiTheme="majorBidi" w:hAnsiTheme="majorBidi" w:cstheme="majorBidi"/>
                <w:b/>
                <w:bCs/>
                <w:sz w:val="16"/>
                <w:szCs w:val="16"/>
              </w:rPr>
              <w:t>4.7</w:t>
            </w:r>
          </w:p>
        </w:tc>
        <w:tc>
          <w:tcPr>
            <w:tcW w:w="842" w:type="dxa"/>
            <w:tcBorders>
              <w:top w:val="single" w:sz="12" w:space="0" w:color="auto"/>
              <w:left w:val="single" w:sz="12" w:space="0" w:color="auto"/>
              <w:bottom w:val="single" w:sz="12" w:space="0" w:color="auto"/>
              <w:right w:val="single" w:sz="12" w:space="0" w:color="auto"/>
            </w:tcBorders>
          </w:tcPr>
          <w:p w:rsidR="00FA6DE5" w:rsidRPr="005B1A8D" w:rsidRDefault="00FA6DE5" w:rsidP="003D04DC">
            <w:pPr>
              <w:bidi/>
              <w:jc w:val="center"/>
              <w:rPr>
                <w:rFonts w:asciiTheme="majorBidi" w:hAnsiTheme="majorBidi" w:cstheme="majorBidi"/>
                <w:b/>
                <w:bCs/>
                <w:sz w:val="16"/>
                <w:szCs w:val="16"/>
              </w:rPr>
            </w:pPr>
            <w:r w:rsidRPr="005B1A8D">
              <w:rPr>
                <w:rFonts w:asciiTheme="majorBidi" w:hAnsiTheme="majorBidi" w:cstheme="majorBidi"/>
                <w:b/>
                <w:bCs/>
                <w:sz w:val="16"/>
                <w:szCs w:val="16"/>
              </w:rPr>
              <w:t>3</w:t>
            </w:r>
          </w:p>
          <w:p w:rsidR="00FA6DE5" w:rsidRPr="005B1A8D" w:rsidRDefault="00FA6DE5" w:rsidP="003D04DC">
            <w:pPr>
              <w:bidi/>
              <w:jc w:val="center"/>
              <w:rPr>
                <w:rFonts w:asciiTheme="majorBidi" w:hAnsiTheme="majorBidi" w:cstheme="majorBidi"/>
                <w:b/>
                <w:bCs/>
                <w:sz w:val="16"/>
                <w:szCs w:val="16"/>
                <w:rtl/>
              </w:rPr>
            </w:pPr>
            <w:r w:rsidRPr="005B1A8D">
              <w:rPr>
                <w:rFonts w:asciiTheme="majorBidi" w:hAnsiTheme="majorBidi" w:cstheme="majorBidi"/>
                <w:b/>
                <w:bCs/>
                <w:sz w:val="16"/>
                <w:szCs w:val="16"/>
              </w:rPr>
              <w:t>5.6</w:t>
            </w:r>
          </w:p>
        </w:tc>
        <w:tc>
          <w:tcPr>
            <w:tcW w:w="977" w:type="dxa"/>
            <w:tcBorders>
              <w:top w:val="single" w:sz="12" w:space="0" w:color="auto"/>
              <w:left w:val="single" w:sz="12" w:space="0" w:color="auto"/>
              <w:bottom w:val="single" w:sz="12" w:space="0" w:color="auto"/>
              <w:right w:val="single" w:sz="12" w:space="0" w:color="auto"/>
            </w:tcBorders>
          </w:tcPr>
          <w:p w:rsidR="00FA6DE5" w:rsidRPr="005B1A8D" w:rsidRDefault="00FA6DE5" w:rsidP="003D04DC">
            <w:pPr>
              <w:bidi/>
              <w:jc w:val="center"/>
              <w:rPr>
                <w:rFonts w:asciiTheme="majorBidi" w:hAnsiTheme="majorBidi" w:cstheme="majorBidi"/>
                <w:b/>
                <w:bCs/>
                <w:sz w:val="16"/>
                <w:szCs w:val="16"/>
              </w:rPr>
            </w:pPr>
            <w:r w:rsidRPr="005B1A8D">
              <w:rPr>
                <w:rFonts w:asciiTheme="majorBidi" w:hAnsiTheme="majorBidi" w:cstheme="majorBidi"/>
                <w:b/>
                <w:bCs/>
                <w:sz w:val="16"/>
                <w:szCs w:val="16"/>
              </w:rPr>
              <w:t>2.6</w:t>
            </w:r>
          </w:p>
          <w:p w:rsidR="00FA6DE5" w:rsidRPr="005B1A8D" w:rsidRDefault="00FA6DE5" w:rsidP="003D04DC">
            <w:pPr>
              <w:bidi/>
              <w:jc w:val="center"/>
              <w:rPr>
                <w:rFonts w:asciiTheme="majorBidi" w:hAnsiTheme="majorBidi" w:cstheme="majorBidi"/>
                <w:b/>
                <w:bCs/>
                <w:sz w:val="16"/>
                <w:szCs w:val="16"/>
                <w:rtl/>
              </w:rPr>
            </w:pPr>
            <w:r w:rsidRPr="005B1A8D">
              <w:rPr>
                <w:rFonts w:asciiTheme="majorBidi" w:hAnsiTheme="majorBidi" w:cstheme="majorBidi"/>
                <w:b/>
                <w:bCs/>
                <w:sz w:val="16"/>
                <w:szCs w:val="16"/>
              </w:rPr>
              <w:t>5.5</w:t>
            </w:r>
          </w:p>
        </w:tc>
        <w:tc>
          <w:tcPr>
            <w:tcW w:w="975" w:type="dxa"/>
            <w:tcBorders>
              <w:top w:val="single" w:sz="12" w:space="0" w:color="auto"/>
              <w:left w:val="single" w:sz="12" w:space="0" w:color="auto"/>
              <w:bottom w:val="single" w:sz="12" w:space="0" w:color="auto"/>
              <w:right w:val="single" w:sz="12" w:space="0" w:color="auto"/>
            </w:tcBorders>
          </w:tcPr>
          <w:p w:rsidR="00FA6DE5" w:rsidRPr="005B1A8D" w:rsidRDefault="00FA6DE5" w:rsidP="003D04DC">
            <w:pPr>
              <w:bidi/>
              <w:jc w:val="center"/>
              <w:rPr>
                <w:rFonts w:asciiTheme="majorBidi" w:hAnsiTheme="majorBidi" w:cstheme="majorBidi"/>
                <w:b/>
                <w:bCs/>
                <w:sz w:val="16"/>
                <w:szCs w:val="16"/>
              </w:rPr>
            </w:pPr>
            <w:r w:rsidRPr="005B1A8D">
              <w:rPr>
                <w:rFonts w:asciiTheme="majorBidi" w:hAnsiTheme="majorBidi" w:cstheme="majorBidi"/>
                <w:b/>
                <w:bCs/>
                <w:sz w:val="16"/>
                <w:szCs w:val="16"/>
              </w:rPr>
              <w:t>2.53</w:t>
            </w:r>
          </w:p>
          <w:p w:rsidR="00FA6DE5" w:rsidRPr="005B1A8D" w:rsidRDefault="00FA6DE5" w:rsidP="003D04DC">
            <w:pPr>
              <w:bidi/>
              <w:jc w:val="center"/>
              <w:rPr>
                <w:rFonts w:asciiTheme="majorBidi" w:hAnsiTheme="majorBidi" w:cstheme="majorBidi"/>
                <w:b/>
                <w:bCs/>
                <w:sz w:val="16"/>
                <w:szCs w:val="16"/>
              </w:rPr>
            </w:pPr>
            <w:r w:rsidRPr="005B1A8D">
              <w:rPr>
                <w:rFonts w:asciiTheme="majorBidi" w:hAnsiTheme="majorBidi" w:cstheme="majorBidi"/>
                <w:b/>
                <w:bCs/>
                <w:sz w:val="16"/>
                <w:szCs w:val="16"/>
              </w:rPr>
              <w:t>5.15</w:t>
            </w:r>
          </w:p>
          <w:p w:rsidR="00FA6DE5" w:rsidRPr="005B1A8D" w:rsidRDefault="00FA6DE5" w:rsidP="003D04DC">
            <w:pPr>
              <w:bidi/>
              <w:jc w:val="center"/>
              <w:rPr>
                <w:rFonts w:asciiTheme="majorBidi" w:hAnsiTheme="majorBidi" w:cstheme="majorBidi"/>
                <w:b/>
                <w:bCs/>
                <w:sz w:val="16"/>
                <w:szCs w:val="16"/>
                <w:rtl/>
              </w:rPr>
            </w:pPr>
          </w:p>
        </w:tc>
        <w:tc>
          <w:tcPr>
            <w:tcW w:w="976" w:type="dxa"/>
            <w:tcBorders>
              <w:top w:val="single" w:sz="12" w:space="0" w:color="auto"/>
              <w:left w:val="single" w:sz="12" w:space="0" w:color="auto"/>
              <w:bottom w:val="single" w:sz="12" w:space="0" w:color="auto"/>
              <w:right w:val="single" w:sz="12" w:space="0" w:color="auto"/>
            </w:tcBorders>
          </w:tcPr>
          <w:p w:rsidR="00FA6DE5" w:rsidRPr="005B1A8D" w:rsidRDefault="00FA6DE5" w:rsidP="003D04DC">
            <w:pPr>
              <w:bidi/>
              <w:jc w:val="right"/>
              <w:rPr>
                <w:rFonts w:asciiTheme="majorBidi" w:hAnsiTheme="majorBidi" w:cstheme="majorBidi"/>
                <w:b/>
                <w:bCs/>
                <w:sz w:val="16"/>
                <w:szCs w:val="16"/>
              </w:rPr>
            </w:pPr>
            <w:r w:rsidRPr="005B1A8D">
              <w:rPr>
                <w:rFonts w:asciiTheme="majorBidi" w:hAnsiTheme="majorBidi" w:cstheme="majorBidi"/>
                <w:b/>
                <w:bCs/>
                <w:sz w:val="16"/>
                <w:szCs w:val="16"/>
              </w:rPr>
              <w:t>2016-2064</w:t>
            </w:r>
          </w:p>
          <w:p w:rsidR="00FA6DE5" w:rsidRPr="005B1A8D" w:rsidRDefault="00FA6DE5" w:rsidP="003D04DC">
            <w:pPr>
              <w:bidi/>
              <w:jc w:val="right"/>
              <w:rPr>
                <w:rFonts w:asciiTheme="majorBidi" w:hAnsiTheme="majorBidi" w:cstheme="majorBidi"/>
                <w:b/>
                <w:bCs/>
                <w:sz w:val="16"/>
                <w:szCs w:val="16"/>
                <w:rtl/>
              </w:rPr>
            </w:pPr>
            <w:r w:rsidRPr="005B1A8D">
              <w:rPr>
                <w:rFonts w:asciiTheme="majorBidi" w:hAnsiTheme="majorBidi" w:cstheme="majorBidi"/>
                <w:b/>
                <w:bCs/>
                <w:sz w:val="16"/>
                <w:szCs w:val="16"/>
              </w:rPr>
              <w:t>2080-2100</w:t>
            </w:r>
          </w:p>
        </w:tc>
      </w:tr>
      <w:tr w:rsidR="00FA6DE5" w:rsidRPr="005B1A8D" w:rsidTr="003D04DC">
        <w:trPr>
          <w:trHeight w:val="236"/>
        </w:trPr>
        <w:tc>
          <w:tcPr>
            <w:tcW w:w="850" w:type="dxa"/>
            <w:tcBorders>
              <w:top w:val="single" w:sz="12" w:space="0" w:color="auto"/>
              <w:left w:val="single" w:sz="12" w:space="0" w:color="auto"/>
              <w:bottom w:val="single" w:sz="12" w:space="0" w:color="auto"/>
              <w:right w:val="single" w:sz="12" w:space="0" w:color="auto"/>
            </w:tcBorders>
            <w:shd w:val="clear" w:color="auto" w:fill="EEECE1" w:themeFill="background2"/>
          </w:tcPr>
          <w:p w:rsidR="00FA6DE5" w:rsidRPr="005B1A8D" w:rsidRDefault="00FA6DE5" w:rsidP="003D04DC">
            <w:pPr>
              <w:bidi/>
              <w:jc w:val="center"/>
              <w:rPr>
                <w:rFonts w:asciiTheme="majorBidi" w:hAnsiTheme="majorBidi" w:cstheme="majorBidi"/>
                <w:b/>
                <w:bCs/>
                <w:sz w:val="16"/>
                <w:szCs w:val="16"/>
                <w:rtl/>
              </w:rPr>
            </w:pPr>
          </w:p>
        </w:tc>
        <w:tc>
          <w:tcPr>
            <w:tcW w:w="5529" w:type="dxa"/>
            <w:gridSpan w:val="6"/>
            <w:tcBorders>
              <w:top w:val="single" w:sz="12" w:space="0" w:color="auto"/>
              <w:left w:val="single" w:sz="12" w:space="0" w:color="auto"/>
              <w:bottom w:val="single" w:sz="12" w:space="0" w:color="auto"/>
              <w:right w:val="single" w:sz="12" w:space="0" w:color="auto"/>
            </w:tcBorders>
            <w:shd w:val="clear" w:color="auto" w:fill="EEECE1" w:themeFill="background2"/>
          </w:tcPr>
          <w:p w:rsidR="00FA6DE5" w:rsidRPr="005B1A8D" w:rsidRDefault="00FA6DE5" w:rsidP="003D04DC">
            <w:pPr>
              <w:bidi/>
              <w:jc w:val="right"/>
              <w:rPr>
                <w:rFonts w:asciiTheme="majorBidi" w:hAnsiTheme="majorBidi" w:cstheme="majorBidi"/>
                <w:b/>
                <w:bCs/>
                <w:sz w:val="16"/>
                <w:szCs w:val="16"/>
              </w:rPr>
            </w:pPr>
            <w:r w:rsidRPr="005B1A8D">
              <w:rPr>
                <w:rFonts w:asciiTheme="majorBidi" w:hAnsiTheme="majorBidi" w:cstheme="majorBidi"/>
                <w:b/>
                <w:bCs/>
                <w:sz w:val="16"/>
                <w:szCs w:val="16"/>
              </w:rPr>
              <w:t xml:space="preserve"> </w:t>
            </w:r>
            <w:r w:rsidRPr="005B1A8D">
              <w:rPr>
                <w:rFonts w:asciiTheme="majorBidi" w:hAnsiTheme="majorBidi" w:cstheme="majorBidi"/>
                <w:b/>
                <w:bCs/>
                <w:sz w:val="16"/>
                <w:szCs w:val="16"/>
                <w:shd w:val="clear" w:color="auto" w:fill="EEECE1" w:themeFill="background2"/>
              </w:rPr>
              <w:t>AIB</w:t>
            </w:r>
          </w:p>
          <w:p w:rsidR="00FA6DE5" w:rsidRPr="005B1A8D" w:rsidRDefault="00FA6DE5" w:rsidP="003D04DC">
            <w:pPr>
              <w:bidi/>
              <w:jc w:val="right"/>
              <w:rPr>
                <w:rFonts w:asciiTheme="majorBidi" w:hAnsiTheme="majorBidi" w:cstheme="majorBidi"/>
                <w:b/>
                <w:bCs/>
                <w:sz w:val="16"/>
                <w:szCs w:val="16"/>
                <w:rtl/>
              </w:rPr>
            </w:pPr>
          </w:p>
        </w:tc>
      </w:tr>
      <w:tr w:rsidR="00FA6DE5" w:rsidRPr="005B1A8D" w:rsidTr="003D04DC">
        <w:trPr>
          <w:trHeight w:val="687"/>
        </w:trPr>
        <w:tc>
          <w:tcPr>
            <w:tcW w:w="850" w:type="dxa"/>
            <w:tcBorders>
              <w:top w:val="single" w:sz="12" w:space="0" w:color="auto"/>
              <w:left w:val="single" w:sz="12" w:space="0" w:color="auto"/>
              <w:bottom w:val="single" w:sz="12" w:space="0" w:color="auto"/>
              <w:right w:val="single" w:sz="12" w:space="0" w:color="auto"/>
            </w:tcBorders>
          </w:tcPr>
          <w:p w:rsidR="00FA6DE5" w:rsidRPr="005B1A8D" w:rsidRDefault="00FA6DE5" w:rsidP="003D04DC">
            <w:pPr>
              <w:bidi/>
              <w:jc w:val="center"/>
              <w:rPr>
                <w:rFonts w:asciiTheme="majorBidi" w:hAnsiTheme="majorBidi" w:cstheme="majorBidi"/>
                <w:b/>
                <w:bCs/>
                <w:sz w:val="16"/>
                <w:szCs w:val="16"/>
              </w:rPr>
            </w:pPr>
            <w:r w:rsidRPr="005B1A8D">
              <w:rPr>
                <w:rFonts w:asciiTheme="majorBidi" w:hAnsiTheme="majorBidi" w:cstheme="majorBidi"/>
                <w:b/>
                <w:bCs/>
                <w:sz w:val="16"/>
                <w:szCs w:val="16"/>
              </w:rPr>
              <w:t>1.8</w:t>
            </w:r>
          </w:p>
          <w:p w:rsidR="00FA6DE5" w:rsidRPr="005B1A8D" w:rsidRDefault="00FA6DE5" w:rsidP="003D04DC">
            <w:pPr>
              <w:bidi/>
              <w:jc w:val="center"/>
              <w:rPr>
                <w:rFonts w:asciiTheme="majorBidi" w:hAnsiTheme="majorBidi" w:cstheme="majorBidi"/>
                <w:b/>
                <w:bCs/>
                <w:sz w:val="16"/>
                <w:szCs w:val="16"/>
              </w:rPr>
            </w:pPr>
            <w:r w:rsidRPr="005B1A8D">
              <w:rPr>
                <w:rFonts w:asciiTheme="majorBidi" w:hAnsiTheme="majorBidi" w:cstheme="majorBidi"/>
                <w:b/>
                <w:bCs/>
                <w:sz w:val="16"/>
                <w:szCs w:val="16"/>
              </w:rPr>
              <w:t>3.4</w:t>
            </w:r>
          </w:p>
          <w:p w:rsidR="00FA6DE5" w:rsidRPr="005B1A8D" w:rsidRDefault="00FA6DE5" w:rsidP="003D04DC">
            <w:pPr>
              <w:bidi/>
              <w:jc w:val="center"/>
              <w:rPr>
                <w:rFonts w:asciiTheme="majorBidi" w:hAnsiTheme="majorBidi" w:cstheme="majorBidi"/>
                <w:b/>
                <w:bCs/>
                <w:sz w:val="16"/>
                <w:szCs w:val="16"/>
                <w:rtl/>
              </w:rPr>
            </w:pPr>
          </w:p>
        </w:tc>
        <w:tc>
          <w:tcPr>
            <w:tcW w:w="854" w:type="dxa"/>
            <w:tcBorders>
              <w:top w:val="single" w:sz="12" w:space="0" w:color="auto"/>
              <w:left w:val="single" w:sz="12" w:space="0" w:color="auto"/>
              <w:bottom w:val="single" w:sz="12" w:space="0" w:color="auto"/>
              <w:right w:val="single" w:sz="12" w:space="0" w:color="auto"/>
            </w:tcBorders>
          </w:tcPr>
          <w:p w:rsidR="00FA6DE5" w:rsidRPr="005B1A8D" w:rsidRDefault="00FA6DE5" w:rsidP="003D04DC">
            <w:pPr>
              <w:bidi/>
              <w:jc w:val="center"/>
              <w:rPr>
                <w:rFonts w:asciiTheme="majorBidi" w:hAnsiTheme="majorBidi" w:cstheme="majorBidi"/>
                <w:b/>
                <w:bCs/>
                <w:sz w:val="16"/>
                <w:szCs w:val="16"/>
              </w:rPr>
            </w:pPr>
            <w:r w:rsidRPr="005B1A8D">
              <w:rPr>
                <w:rFonts w:asciiTheme="majorBidi" w:hAnsiTheme="majorBidi" w:cstheme="majorBidi"/>
                <w:b/>
                <w:bCs/>
                <w:sz w:val="16"/>
                <w:szCs w:val="16"/>
              </w:rPr>
              <w:t>1.8</w:t>
            </w:r>
          </w:p>
          <w:p w:rsidR="00FA6DE5" w:rsidRPr="005B1A8D" w:rsidRDefault="00FA6DE5" w:rsidP="003D04DC">
            <w:pPr>
              <w:bidi/>
              <w:jc w:val="center"/>
              <w:rPr>
                <w:rFonts w:asciiTheme="majorBidi" w:hAnsiTheme="majorBidi" w:cstheme="majorBidi"/>
                <w:b/>
                <w:bCs/>
                <w:sz w:val="16"/>
                <w:szCs w:val="16"/>
                <w:rtl/>
              </w:rPr>
            </w:pPr>
            <w:r w:rsidRPr="005B1A8D">
              <w:rPr>
                <w:rFonts w:asciiTheme="majorBidi" w:hAnsiTheme="majorBidi" w:cstheme="majorBidi"/>
                <w:b/>
                <w:bCs/>
                <w:sz w:val="16"/>
                <w:szCs w:val="16"/>
              </w:rPr>
              <w:t>4.2</w:t>
            </w:r>
          </w:p>
        </w:tc>
        <w:tc>
          <w:tcPr>
            <w:tcW w:w="905" w:type="dxa"/>
            <w:tcBorders>
              <w:top w:val="single" w:sz="12" w:space="0" w:color="auto"/>
              <w:left w:val="single" w:sz="12" w:space="0" w:color="auto"/>
              <w:bottom w:val="single" w:sz="12" w:space="0" w:color="auto"/>
              <w:right w:val="single" w:sz="12" w:space="0" w:color="auto"/>
            </w:tcBorders>
          </w:tcPr>
          <w:p w:rsidR="00FA6DE5" w:rsidRPr="005B1A8D" w:rsidRDefault="00FA6DE5" w:rsidP="003D04DC">
            <w:pPr>
              <w:bidi/>
              <w:jc w:val="center"/>
              <w:rPr>
                <w:rFonts w:asciiTheme="majorBidi" w:hAnsiTheme="majorBidi" w:cstheme="majorBidi"/>
                <w:b/>
                <w:bCs/>
                <w:sz w:val="16"/>
                <w:szCs w:val="16"/>
              </w:rPr>
            </w:pPr>
            <w:r w:rsidRPr="005B1A8D">
              <w:rPr>
                <w:rFonts w:asciiTheme="majorBidi" w:hAnsiTheme="majorBidi" w:cstheme="majorBidi"/>
                <w:b/>
                <w:bCs/>
                <w:sz w:val="16"/>
                <w:szCs w:val="16"/>
              </w:rPr>
              <w:t>3</w:t>
            </w:r>
          </w:p>
          <w:p w:rsidR="00FA6DE5" w:rsidRPr="005B1A8D" w:rsidRDefault="00FA6DE5" w:rsidP="003D04DC">
            <w:pPr>
              <w:bidi/>
              <w:jc w:val="center"/>
              <w:rPr>
                <w:rFonts w:asciiTheme="majorBidi" w:hAnsiTheme="majorBidi" w:cstheme="majorBidi"/>
                <w:b/>
                <w:bCs/>
                <w:sz w:val="16"/>
                <w:szCs w:val="16"/>
                <w:rtl/>
              </w:rPr>
            </w:pPr>
            <w:r w:rsidRPr="005B1A8D">
              <w:rPr>
                <w:rFonts w:asciiTheme="majorBidi" w:hAnsiTheme="majorBidi" w:cstheme="majorBidi"/>
                <w:b/>
                <w:bCs/>
                <w:sz w:val="16"/>
                <w:szCs w:val="16"/>
              </w:rPr>
              <w:t>4.6</w:t>
            </w:r>
          </w:p>
        </w:tc>
        <w:tc>
          <w:tcPr>
            <w:tcW w:w="842" w:type="dxa"/>
            <w:tcBorders>
              <w:top w:val="single" w:sz="12" w:space="0" w:color="auto"/>
              <w:left w:val="single" w:sz="12" w:space="0" w:color="auto"/>
              <w:bottom w:val="single" w:sz="12" w:space="0" w:color="auto"/>
              <w:right w:val="single" w:sz="12" w:space="0" w:color="auto"/>
            </w:tcBorders>
          </w:tcPr>
          <w:p w:rsidR="00FA6DE5" w:rsidRPr="005B1A8D" w:rsidRDefault="00FA6DE5" w:rsidP="003D04DC">
            <w:pPr>
              <w:bidi/>
              <w:jc w:val="center"/>
              <w:rPr>
                <w:rFonts w:asciiTheme="majorBidi" w:hAnsiTheme="majorBidi" w:cstheme="majorBidi"/>
                <w:b/>
                <w:bCs/>
                <w:sz w:val="16"/>
                <w:szCs w:val="16"/>
              </w:rPr>
            </w:pPr>
            <w:r w:rsidRPr="005B1A8D">
              <w:rPr>
                <w:rFonts w:asciiTheme="majorBidi" w:hAnsiTheme="majorBidi" w:cstheme="majorBidi"/>
                <w:b/>
                <w:bCs/>
                <w:sz w:val="16"/>
                <w:szCs w:val="16"/>
              </w:rPr>
              <w:t>2.4</w:t>
            </w:r>
          </w:p>
          <w:p w:rsidR="00FA6DE5" w:rsidRPr="005B1A8D" w:rsidRDefault="00FA6DE5" w:rsidP="003D04DC">
            <w:pPr>
              <w:bidi/>
              <w:jc w:val="center"/>
              <w:rPr>
                <w:rFonts w:asciiTheme="majorBidi" w:hAnsiTheme="majorBidi" w:cstheme="majorBidi"/>
                <w:b/>
                <w:bCs/>
                <w:sz w:val="16"/>
                <w:szCs w:val="16"/>
              </w:rPr>
            </w:pPr>
            <w:r w:rsidRPr="005B1A8D">
              <w:rPr>
                <w:rFonts w:asciiTheme="majorBidi" w:hAnsiTheme="majorBidi" w:cstheme="majorBidi"/>
                <w:b/>
                <w:bCs/>
                <w:sz w:val="16"/>
                <w:szCs w:val="16"/>
              </w:rPr>
              <w:t>4.7</w:t>
            </w:r>
          </w:p>
          <w:p w:rsidR="00FA6DE5" w:rsidRPr="005B1A8D" w:rsidRDefault="00FA6DE5" w:rsidP="003D04DC">
            <w:pPr>
              <w:bidi/>
              <w:jc w:val="center"/>
              <w:rPr>
                <w:rFonts w:asciiTheme="majorBidi" w:hAnsiTheme="majorBidi" w:cstheme="majorBidi"/>
                <w:b/>
                <w:bCs/>
                <w:sz w:val="16"/>
                <w:szCs w:val="16"/>
                <w:rtl/>
              </w:rPr>
            </w:pPr>
          </w:p>
        </w:tc>
        <w:tc>
          <w:tcPr>
            <w:tcW w:w="977" w:type="dxa"/>
            <w:tcBorders>
              <w:top w:val="single" w:sz="12" w:space="0" w:color="auto"/>
              <w:left w:val="single" w:sz="12" w:space="0" w:color="auto"/>
              <w:bottom w:val="single" w:sz="12" w:space="0" w:color="auto"/>
              <w:right w:val="single" w:sz="12" w:space="0" w:color="auto"/>
            </w:tcBorders>
          </w:tcPr>
          <w:p w:rsidR="00FA6DE5" w:rsidRPr="005B1A8D" w:rsidRDefault="00FA6DE5" w:rsidP="003D04DC">
            <w:pPr>
              <w:bidi/>
              <w:jc w:val="center"/>
              <w:rPr>
                <w:rFonts w:asciiTheme="majorBidi" w:hAnsiTheme="majorBidi" w:cstheme="majorBidi"/>
                <w:b/>
                <w:bCs/>
                <w:sz w:val="16"/>
                <w:szCs w:val="16"/>
              </w:rPr>
            </w:pPr>
            <w:r w:rsidRPr="005B1A8D">
              <w:rPr>
                <w:rFonts w:asciiTheme="majorBidi" w:hAnsiTheme="majorBidi" w:cstheme="majorBidi"/>
                <w:b/>
                <w:bCs/>
                <w:sz w:val="16"/>
                <w:szCs w:val="16"/>
              </w:rPr>
              <w:t>2</w:t>
            </w:r>
          </w:p>
          <w:p w:rsidR="00FA6DE5" w:rsidRPr="005B1A8D" w:rsidRDefault="00FA6DE5" w:rsidP="003D04DC">
            <w:pPr>
              <w:bidi/>
              <w:jc w:val="center"/>
              <w:rPr>
                <w:rFonts w:asciiTheme="majorBidi" w:hAnsiTheme="majorBidi" w:cstheme="majorBidi"/>
                <w:b/>
                <w:bCs/>
                <w:sz w:val="16"/>
                <w:szCs w:val="16"/>
                <w:rtl/>
              </w:rPr>
            </w:pPr>
            <w:r w:rsidRPr="005B1A8D">
              <w:rPr>
                <w:rFonts w:asciiTheme="majorBidi" w:hAnsiTheme="majorBidi" w:cstheme="majorBidi"/>
                <w:b/>
                <w:bCs/>
                <w:sz w:val="16"/>
                <w:szCs w:val="16"/>
              </w:rPr>
              <w:t>4.6</w:t>
            </w:r>
          </w:p>
        </w:tc>
        <w:tc>
          <w:tcPr>
            <w:tcW w:w="975" w:type="dxa"/>
            <w:tcBorders>
              <w:top w:val="single" w:sz="12" w:space="0" w:color="auto"/>
              <w:left w:val="single" w:sz="12" w:space="0" w:color="auto"/>
              <w:bottom w:val="single" w:sz="12" w:space="0" w:color="auto"/>
              <w:right w:val="single" w:sz="12" w:space="0" w:color="auto"/>
            </w:tcBorders>
          </w:tcPr>
          <w:p w:rsidR="00FA6DE5" w:rsidRPr="005B1A8D" w:rsidRDefault="00FA6DE5" w:rsidP="003D04DC">
            <w:pPr>
              <w:bidi/>
              <w:jc w:val="center"/>
              <w:rPr>
                <w:rFonts w:asciiTheme="majorBidi" w:hAnsiTheme="majorBidi" w:cstheme="majorBidi"/>
                <w:b/>
                <w:bCs/>
                <w:sz w:val="16"/>
                <w:szCs w:val="16"/>
              </w:rPr>
            </w:pPr>
            <w:r w:rsidRPr="005B1A8D">
              <w:rPr>
                <w:rFonts w:asciiTheme="majorBidi" w:hAnsiTheme="majorBidi" w:cstheme="majorBidi"/>
                <w:b/>
                <w:bCs/>
                <w:sz w:val="16"/>
                <w:szCs w:val="16"/>
              </w:rPr>
              <w:t>2.16</w:t>
            </w:r>
          </w:p>
          <w:p w:rsidR="00FA6DE5" w:rsidRPr="005B1A8D" w:rsidRDefault="00FA6DE5" w:rsidP="003D04DC">
            <w:pPr>
              <w:bidi/>
              <w:jc w:val="center"/>
              <w:rPr>
                <w:rFonts w:asciiTheme="majorBidi" w:hAnsiTheme="majorBidi" w:cstheme="majorBidi"/>
                <w:b/>
                <w:bCs/>
                <w:sz w:val="16"/>
                <w:szCs w:val="16"/>
                <w:rtl/>
              </w:rPr>
            </w:pPr>
            <w:r w:rsidRPr="005B1A8D">
              <w:rPr>
                <w:rFonts w:asciiTheme="majorBidi" w:hAnsiTheme="majorBidi" w:cstheme="majorBidi"/>
                <w:b/>
                <w:bCs/>
                <w:sz w:val="16"/>
                <w:szCs w:val="16"/>
              </w:rPr>
              <w:t>4.29</w:t>
            </w:r>
          </w:p>
        </w:tc>
        <w:tc>
          <w:tcPr>
            <w:tcW w:w="976" w:type="dxa"/>
            <w:tcBorders>
              <w:top w:val="single" w:sz="12" w:space="0" w:color="auto"/>
              <w:left w:val="single" w:sz="12" w:space="0" w:color="auto"/>
              <w:bottom w:val="single" w:sz="12" w:space="0" w:color="auto"/>
              <w:right w:val="single" w:sz="12" w:space="0" w:color="auto"/>
            </w:tcBorders>
          </w:tcPr>
          <w:p w:rsidR="00FA6DE5" w:rsidRPr="005B1A8D" w:rsidRDefault="00FA6DE5" w:rsidP="003D04DC">
            <w:pPr>
              <w:bidi/>
              <w:jc w:val="right"/>
              <w:rPr>
                <w:rFonts w:asciiTheme="majorBidi" w:hAnsiTheme="majorBidi" w:cstheme="majorBidi"/>
                <w:b/>
                <w:bCs/>
                <w:sz w:val="16"/>
                <w:szCs w:val="16"/>
              </w:rPr>
            </w:pPr>
            <w:r w:rsidRPr="005B1A8D">
              <w:rPr>
                <w:rFonts w:asciiTheme="majorBidi" w:hAnsiTheme="majorBidi" w:cstheme="majorBidi"/>
                <w:b/>
                <w:bCs/>
                <w:sz w:val="16"/>
                <w:szCs w:val="16"/>
              </w:rPr>
              <w:t>2046-2064</w:t>
            </w:r>
          </w:p>
          <w:p w:rsidR="00FA6DE5" w:rsidRPr="005B1A8D" w:rsidRDefault="00FA6DE5" w:rsidP="003D04DC">
            <w:pPr>
              <w:bidi/>
              <w:jc w:val="right"/>
              <w:rPr>
                <w:rFonts w:asciiTheme="majorBidi" w:hAnsiTheme="majorBidi" w:cstheme="majorBidi"/>
                <w:b/>
                <w:bCs/>
                <w:sz w:val="16"/>
                <w:szCs w:val="16"/>
                <w:rtl/>
              </w:rPr>
            </w:pPr>
            <w:r w:rsidRPr="005B1A8D">
              <w:rPr>
                <w:rFonts w:asciiTheme="majorBidi" w:hAnsiTheme="majorBidi" w:cstheme="majorBidi"/>
                <w:b/>
                <w:bCs/>
                <w:sz w:val="16"/>
                <w:szCs w:val="16"/>
              </w:rPr>
              <w:t>2080-2100</w:t>
            </w:r>
          </w:p>
        </w:tc>
      </w:tr>
      <w:tr w:rsidR="00FA6DE5" w:rsidRPr="005B1A8D" w:rsidTr="003D04DC">
        <w:trPr>
          <w:trHeight w:val="242"/>
        </w:trPr>
        <w:tc>
          <w:tcPr>
            <w:tcW w:w="5403" w:type="dxa"/>
            <w:gridSpan w:val="6"/>
            <w:tcBorders>
              <w:top w:val="single" w:sz="12" w:space="0" w:color="auto"/>
              <w:left w:val="single" w:sz="12" w:space="0" w:color="auto"/>
              <w:bottom w:val="single" w:sz="12" w:space="0" w:color="auto"/>
              <w:right w:val="single" w:sz="12" w:space="0" w:color="auto"/>
            </w:tcBorders>
            <w:shd w:val="clear" w:color="auto" w:fill="EEECE1" w:themeFill="background2"/>
          </w:tcPr>
          <w:p w:rsidR="00FA6DE5" w:rsidRPr="005B1A8D" w:rsidRDefault="00FA6DE5" w:rsidP="003D04DC">
            <w:pPr>
              <w:bidi/>
              <w:jc w:val="right"/>
              <w:rPr>
                <w:rFonts w:asciiTheme="majorBidi" w:hAnsiTheme="majorBidi" w:cstheme="majorBidi"/>
                <w:b/>
                <w:bCs/>
                <w:sz w:val="16"/>
                <w:szCs w:val="16"/>
              </w:rPr>
            </w:pPr>
          </w:p>
          <w:p w:rsidR="00FA6DE5" w:rsidRPr="005B1A8D" w:rsidRDefault="00FA6DE5" w:rsidP="003D04DC">
            <w:pPr>
              <w:bidi/>
              <w:jc w:val="right"/>
              <w:rPr>
                <w:rFonts w:asciiTheme="majorBidi" w:hAnsiTheme="majorBidi" w:cstheme="majorBidi"/>
                <w:b/>
                <w:bCs/>
                <w:sz w:val="16"/>
                <w:szCs w:val="16"/>
                <w:rtl/>
              </w:rPr>
            </w:pPr>
          </w:p>
        </w:tc>
        <w:tc>
          <w:tcPr>
            <w:tcW w:w="976" w:type="dxa"/>
            <w:tcBorders>
              <w:top w:val="single" w:sz="12" w:space="0" w:color="auto"/>
              <w:left w:val="single" w:sz="12" w:space="0" w:color="auto"/>
              <w:bottom w:val="single" w:sz="12" w:space="0" w:color="auto"/>
              <w:right w:val="single" w:sz="12" w:space="0" w:color="auto"/>
            </w:tcBorders>
            <w:shd w:val="clear" w:color="auto" w:fill="EEECE1" w:themeFill="background2"/>
          </w:tcPr>
          <w:p w:rsidR="00FA6DE5" w:rsidRPr="005B1A8D" w:rsidRDefault="00FA6DE5" w:rsidP="003D04DC">
            <w:pPr>
              <w:bidi/>
              <w:jc w:val="right"/>
              <w:rPr>
                <w:rFonts w:asciiTheme="majorBidi" w:hAnsiTheme="majorBidi" w:cstheme="majorBidi"/>
                <w:b/>
                <w:bCs/>
                <w:sz w:val="16"/>
                <w:szCs w:val="16"/>
                <w:rtl/>
              </w:rPr>
            </w:pPr>
            <w:r w:rsidRPr="005B1A8D">
              <w:rPr>
                <w:rFonts w:asciiTheme="majorBidi" w:hAnsiTheme="majorBidi" w:cstheme="majorBidi"/>
                <w:b/>
                <w:bCs/>
                <w:sz w:val="16"/>
                <w:szCs w:val="16"/>
              </w:rPr>
              <w:t>B1</w:t>
            </w:r>
          </w:p>
        </w:tc>
      </w:tr>
      <w:tr w:rsidR="00FA6DE5" w:rsidRPr="005B1A8D" w:rsidTr="003D04DC">
        <w:trPr>
          <w:trHeight w:val="466"/>
        </w:trPr>
        <w:tc>
          <w:tcPr>
            <w:tcW w:w="850" w:type="dxa"/>
            <w:tcBorders>
              <w:top w:val="single" w:sz="12" w:space="0" w:color="auto"/>
              <w:left w:val="single" w:sz="12" w:space="0" w:color="auto"/>
              <w:bottom w:val="single" w:sz="12" w:space="0" w:color="auto"/>
              <w:right w:val="single" w:sz="12" w:space="0" w:color="auto"/>
            </w:tcBorders>
          </w:tcPr>
          <w:p w:rsidR="00FA6DE5" w:rsidRPr="005B1A8D" w:rsidRDefault="00FA6DE5" w:rsidP="003D04DC">
            <w:pPr>
              <w:bidi/>
              <w:jc w:val="center"/>
              <w:rPr>
                <w:rFonts w:asciiTheme="majorBidi" w:hAnsiTheme="majorBidi" w:cstheme="majorBidi"/>
                <w:b/>
                <w:bCs/>
                <w:sz w:val="16"/>
                <w:szCs w:val="16"/>
              </w:rPr>
            </w:pPr>
            <w:r w:rsidRPr="005B1A8D">
              <w:rPr>
                <w:rFonts w:asciiTheme="majorBidi" w:hAnsiTheme="majorBidi" w:cstheme="majorBidi"/>
                <w:b/>
                <w:bCs/>
                <w:sz w:val="16"/>
                <w:szCs w:val="16"/>
              </w:rPr>
              <w:t>0.9</w:t>
            </w:r>
          </w:p>
          <w:p w:rsidR="00FA6DE5" w:rsidRPr="005B1A8D" w:rsidRDefault="00FA6DE5" w:rsidP="003D04DC">
            <w:pPr>
              <w:bidi/>
              <w:jc w:val="center"/>
              <w:rPr>
                <w:rFonts w:asciiTheme="majorBidi" w:hAnsiTheme="majorBidi" w:cstheme="majorBidi"/>
                <w:b/>
                <w:bCs/>
                <w:sz w:val="16"/>
                <w:szCs w:val="16"/>
                <w:rtl/>
              </w:rPr>
            </w:pPr>
            <w:r w:rsidRPr="005B1A8D">
              <w:rPr>
                <w:rFonts w:asciiTheme="majorBidi" w:hAnsiTheme="majorBidi" w:cstheme="majorBidi"/>
                <w:b/>
                <w:bCs/>
                <w:sz w:val="16"/>
                <w:szCs w:val="16"/>
              </w:rPr>
              <w:t>1.5</w:t>
            </w:r>
          </w:p>
        </w:tc>
        <w:tc>
          <w:tcPr>
            <w:tcW w:w="854" w:type="dxa"/>
            <w:tcBorders>
              <w:top w:val="single" w:sz="12" w:space="0" w:color="auto"/>
              <w:left w:val="single" w:sz="12" w:space="0" w:color="auto"/>
              <w:bottom w:val="single" w:sz="12" w:space="0" w:color="auto"/>
              <w:right w:val="single" w:sz="12" w:space="0" w:color="auto"/>
            </w:tcBorders>
          </w:tcPr>
          <w:p w:rsidR="00FA6DE5" w:rsidRPr="005B1A8D" w:rsidRDefault="00FA6DE5" w:rsidP="003D04DC">
            <w:pPr>
              <w:bidi/>
              <w:jc w:val="center"/>
              <w:rPr>
                <w:rFonts w:asciiTheme="majorBidi" w:hAnsiTheme="majorBidi" w:cstheme="majorBidi"/>
                <w:b/>
                <w:bCs/>
                <w:sz w:val="16"/>
                <w:szCs w:val="16"/>
              </w:rPr>
            </w:pPr>
            <w:r w:rsidRPr="005B1A8D">
              <w:rPr>
                <w:rFonts w:asciiTheme="majorBidi" w:hAnsiTheme="majorBidi" w:cstheme="majorBidi"/>
                <w:b/>
                <w:bCs/>
                <w:sz w:val="16"/>
                <w:szCs w:val="16"/>
              </w:rPr>
              <w:t>1.6</w:t>
            </w:r>
          </w:p>
          <w:p w:rsidR="00FA6DE5" w:rsidRPr="005B1A8D" w:rsidRDefault="00FA6DE5" w:rsidP="003D04DC">
            <w:pPr>
              <w:bidi/>
              <w:jc w:val="center"/>
              <w:rPr>
                <w:rFonts w:asciiTheme="majorBidi" w:hAnsiTheme="majorBidi" w:cstheme="majorBidi"/>
                <w:b/>
                <w:bCs/>
                <w:sz w:val="16"/>
                <w:szCs w:val="16"/>
                <w:rtl/>
              </w:rPr>
            </w:pPr>
            <w:r w:rsidRPr="005B1A8D">
              <w:rPr>
                <w:rFonts w:asciiTheme="majorBidi" w:hAnsiTheme="majorBidi" w:cstheme="majorBidi"/>
                <w:b/>
                <w:bCs/>
                <w:sz w:val="16"/>
                <w:szCs w:val="16"/>
              </w:rPr>
              <w:t>1.5</w:t>
            </w:r>
          </w:p>
        </w:tc>
        <w:tc>
          <w:tcPr>
            <w:tcW w:w="905" w:type="dxa"/>
            <w:tcBorders>
              <w:top w:val="single" w:sz="12" w:space="0" w:color="auto"/>
              <w:left w:val="single" w:sz="12" w:space="0" w:color="auto"/>
              <w:bottom w:val="single" w:sz="12" w:space="0" w:color="auto"/>
              <w:right w:val="single" w:sz="12" w:space="0" w:color="auto"/>
            </w:tcBorders>
          </w:tcPr>
          <w:p w:rsidR="00FA6DE5" w:rsidRPr="005B1A8D" w:rsidRDefault="00FA6DE5" w:rsidP="003D04DC">
            <w:pPr>
              <w:bidi/>
              <w:jc w:val="center"/>
              <w:rPr>
                <w:rFonts w:asciiTheme="majorBidi" w:hAnsiTheme="majorBidi" w:cstheme="majorBidi"/>
                <w:b/>
                <w:bCs/>
                <w:sz w:val="16"/>
                <w:szCs w:val="16"/>
              </w:rPr>
            </w:pPr>
            <w:r w:rsidRPr="005B1A8D">
              <w:rPr>
                <w:rFonts w:asciiTheme="majorBidi" w:hAnsiTheme="majorBidi" w:cstheme="majorBidi"/>
                <w:b/>
                <w:bCs/>
                <w:sz w:val="16"/>
                <w:szCs w:val="16"/>
              </w:rPr>
              <w:t>1.3</w:t>
            </w:r>
          </w:p>
          <w:p w:rsidR="00FA6DE5" w:rsidRPr="005B1A8D" w:rsidRDefault="00FA6DE5" w:rsidP="003D04DC">
            <w:pPr>
              <w:bidi/>
              <w:jc w:val="center"/>
              <w:rPr>
                <w:rFonts w:asciiTheme="majorBidi" w:hAnsiTheme="majorBidi" w:cstheme="majorBidi"/>
                <w:b/>
                <w:bCs/>
                <w:sz w:val="16"/>
                <w:szCs w:val="16"/>
                <w:rtl/>
              </w:rPr>
            </w:pPr>
            <w:r w:rsidRPr="005B1A8D">
              <w:rPr>
                <w:rFonts w:asciiTheme="majorBidi" w:hAnsiTheme="majorBidi" w:cstheme="majorBidi"/>
                <w:b/>
                <w:bCs/>
                <w:sz w:val="16"/>
                <w:szCs w:val="16"/>
              </w:rPr>
              <w:t>1.6</w:t>
            </w:r>
          </w:p>
        </w:tc>
        <w:tc>
          <w:tcPr>
            <w:tcW w:w="842" w:type="dxa"/>
            <w:tcBorders>
              <w:top w:val="single" w:sz="12" w:space="0" w:color="auto"/>
              <w:left w:val="single" w:sz="12" w:space="0" w:color="auto"/>
              <w:bottom w:val="single" w:sz="12" w:space="0" w:color="auto"/>
              <w:right w:val="single" w:sz="12" w:space="0" w:color="auto"/>
            </w:tcBorders>
          </w:tcPr>
          <w:p w:rsidR="00FA6DE5" w:rsidRPr="005B1A8D" w:rsidRDefault="00FA6DE5" w:rsidP="003D04DC">
            <w:pPr>
              <w:bidi/>
              <w:jc w:val="center"/>
              <w:rPr>
                <w:rFonts w:asciiTheme="majorBidi" w:hAnsiTheme="majorBidi" w:cstheme="majorBidi"/>
                <w:b/>
                <w:bCs/>
                <w:sz w:val="16"/>
                <w:szCs w:val="16"/>
              </w:rPr>
            </w:pPr>
            <w:r w:rsidRPr="005B1A8D">
              <w:rPr>
                <w:rFonts w:asciiTheme="majorBidi" w:hAnsiTheme="majorBidi" w:cstheme="majorBidi"/>
                <w:b/>
                <w:bCs/>
                <w:sz w:val="16"/>
                <w:szCs w:val="16"/>
              </w:rPr>
              <w:t>1.7</w:t>
            </w:r>
          </w:p>
          <w:p w:rsidR="00FA6DE5" w:rsidRPr="005B1A8D" w:rsidRDefault="00FA6DE5" w:rsidP="003D04DC">
            <w:pPr>
              <w:bidi/>
              <w:jc w:val="center"/>
              <w:rPr>
                <w:rFonts w:asciiTheme="majorBidi" w:hAnsiTheme="majorBidi" w:cstheme="majorBidi"/>
                <w:b/>
                <w:bCs/>
                <w:sz w:val="16"/>
                <w:szCs w:val="16"/>
                <w:rtl/>
              </w:rPr>
            </w:pPr>
            <w:r w:rsidRPr="005B1A8D">
              <w:rPr>
                <w:rFonts w:asciiTheme="majorBidi" w:hAnsiTheme="majorBidi" w:cstheme="majorBidi"/>
                <w:b/>
                <w:bCs/>
                <w:sz w:val="16"/>
                <w:szCs w:val="16"/>
              </w:rPr>
              <w:t>1.7</w:t>
            </w:r>
          </w:p>
        </w:tc>
        <w:tc>
          <w:tcPr>
            <w:tcW w:w="977" w:type="dxa"/>
            <w:tcBorders>
              <w:top w:val="single" w:sz="12" w:space="0" w:color="auto"/>
              <w:left w:val="single" w:sz="12" w:space="0" w:color="auto"/>
              <w:bottom w:val="single" w:sz="12" w:space="0" w:color="auto"/>
              <w:right w:val="single" w:sz="12" w:space="0" w:color="auto"/>
            </w:tcBorders>
          </w:tcPr>
          <w:p w:rsidR="00FA6DE5" w:rsidRPr="005B1A8D" w:rsidRDefault="00FA6DE5" w:rsidP="003D04DC">
            <w:pPr>
              <w:bidi/>
              <w:jc w:val="center"/>
              <w:rPr>
                <w:rFonts w:asciiTheme="majorBidi" w:hAnsiTheme="majorBidi" w:cstheme="majorBidi"/>
                <w:b/>
                <w:bCs/>
                <w:sz w:val="16"/>
                <w:szCs w:val="16"/>
              </w:rPr>
            </w:pPr>
            <w:r w:rsidRPr="005B1A8D">
              <w:rPr>
                <w:rFonts w:asciiTheme="majorBidi" w:hAnsiTheme="majorBidi" w:cstheme="majorBidi"/>
                <w:b/>
                <w:bCs/>
                <w:sz w:val="16"/>
                <w:szCs w:val="16"/>
              </w:rPr>
              <w:t>1.2</w:t>
            </w:r>
          </w:p>
          <w:p w:rsidR="00FA6DE5" w:rsidRPr="005B1A8D" w:rsidRDefault="00FA6DE5" w:rsidP="003D04DC">
            <w:pPr>
              <w:bidi/>
              <w:jc w:val="center"/>
              <w:rPr>
                <w:rFonts w:asciiTheme="majorBidi" w:hAnsiTheme="majorBidi" w:cstheme="majorBidi"/>
                <w:b/>
                <w:bCs/>
                <w:sz w:val="16"/>
                <w:szCs w:val="16"/>
                <w:rtl/>
              </w:rPr>
            </w:pPr>
            <w:r w:rsidRPr="005B1A8D">
              <w:rPr>
                <w:rFonts w:asciiTheme="majorBidi" w:hAnsiTheme="majorBidi" w:cstheme="majorBidi"/>
                <w:b/>
                <w:bCs/>
                <w:sz w:val="16"/>
                <w:szCs w:val="16"/>
              </w:rPr>
              <w:t>1.5</w:t>
            </w:r>
          </w:p>
        </w:tc>
        <w:tc>
          <w:tcPr>
            <w:tcW w:w="975" w:type="dxa"/>
            <w:tcBorders>
              <w:top w:val="single" w:sz="12" w:space="0" w:color="auto"/>
              <w:left w:val="single" w:sz="12" w:space="0" w:color="auto"/>
              <w:bottom w:val="single" w:sz="12" w:space="0" w:color="auto"/>
              <w:right w:val="single" w:sz="12" w:space="0" w:color="auto"/>
            </w:tcBorders>
          </w:tcPr>
          <w:p w:rsidR="00FA6DE5" w:rsidRPr="005B1A8D" w:rsidRDefault="00FA6DE5" w:rsidP="003D04DC">
            <w:pPr>
              <w:bidi/>
              <w:jc w:val="center"/>
              <w:rPr>
                <w:rFonts w:asciiTheme="majorBidi" w:hAnsiTheme="majorBidi" w:cstheme="majorBidi"/>
                <w:b/>
                <w:bCs/>
                <w:sz w:val="16"/>
                <w:szCs w:val="16"/>
              </w:rPr>
            </w:pPr>
            <w:r w:rsidRPr="005B1A8D">
              <w:rPr>
                <w:rFonts w:asciiTheme="majorBidi" w:hAnsiTheme="majorBidi" w:cstheme="majorBidi"/>
                <w:b/>
                <w:bCs/>
                <w:sz w:val="16"/>
                <w:szCs w:val="16"/>
              </w:rPr>
              <w:t>1.3</w:t>
            </w:r>
          </w:p>
          <w:p w:rsidR="00FA6DE5" w:rsidRPr="005B1A8D" w:rsidRDefault="00FA6DE5" w:rsidP="003D04DC">
            <w:pPr>
              <w:bidi/>
              <w:jc w:val="center"/>
              <w:rPr>
                <w:rFonts w:asciiTheme="majorBidi" w:hAnsiTheme="majorBidi" w:cstheme="majorBidi"/>
                <w:b/>
                <w:bCs/>
                <w:sz w:val="16"/>
                <w:szCs w:val="16"/>
                <w:rtl/>
              </w:rPr>
            </w:pPr>
            <w:r w:rsidRPr="005B1A8D">
              <w:rPr>
                <w:rFonts w:asciiTheme="majorBidi" w:hAnsiTheme="majorBidi" w:cstheme="majorBidi"/>
                <w:b/>
                <w:bCs/>
                <w:sz w:val="16"/>
                <w:szCs w:val="16"/>
              </w:rPr>
              <w:t>1.5</w:t>
            </w:r>
          </w:p>
        </w:tc>
        <w:tc>
          <w:tcPr>
            <w:tcW w:w="976" w:type="dxa"/>
            <w:tcBorders>
              <w:top w:val="single" w:sz="12" w:space="0" w:color="auto"/>
              <w:left w:val="single" w:sz="12" w:space="0" w:color="auto"/>
              <w:bottom w:val="single" w:sz="12" w:space="0" w:color="auto"/>
              <w:right w:val="single" w:sz="12" w:space="0" w:color="auto"/>
            </w:tcBorders>
          </w:tcPr>
          <w:p w:rsidR="00FA6DE5" w:rsidRPr="005B1A8D" w:rsidRDefault="00FA6DE5" w:rsidP="003D04DC">
            <w:pPr>
              <w:bidi/>
              <w:jc w:val="right"/>
              <w:rPr>
                <w:rFonts w:asciiTheme="majorBidi" w:hAnsiTheme="majorBidi" w:cstheme="majorBidi"/>
                <w:b/>
                <w:bCs/>
                <w:sz w:val="16"/>
                <w:szCs w:val="16"/>
              </w:rPr>
            </w:pPr>
            <w:r w:rsidRPr="005B1A8D">
              <w:rPr>
                <w:rFonts w:asciiTheme="majorBidi" w:hAnsiTheme="majorBidi" w:cstheme="majorBidi"/>
                <w:b/>
                <w:bCs/>
                <w:sz w:val="16"/>
                <w:szCs w:val="16"/>
              </w:rPr>
              <w:t>2046-2064</w:t>
            </w:r>
          </w:p>
          <w:p w:rsidR="00FA6DE5" w:rsidRPr="005B1A8D" w:rsidRDefault="00FA6DE5" w:rsidP="003D04DC">
            <w:pPr>
              <w:bidi/>
              <w:jc w:val="right"/>
              <w:rPr>
                <w:rFonts w:asciiTheme="majorBidi" w:hAnsiTheme="majorBidi" w:cstheme="majorBidi"/>
                <w:b/>
                <w:bCs/>
                <w:sz w:val="16"/>
                <w:szCs w:val="16"/>
                <w:rtl/>
              </w:rPr>
            </w:pPr>
            <w:r w:rsidRPr="005B1A8D">
              <w:rPr>
                <w:rFonts w:asciiTheme="majorBidi" w:hAnsiTheme="majorBidi" w:cstheme="majorBidi"/>
                <w:b/>
                <w:bCs/>
                <w:sz w:val="16"/>
                <w:szCs w:val="16"/>
              </w:rPr>
              <w:t>2080-2100</w:t>
            </w:r>
          </w:p>
        </w:tc>
      </w:tr>
    </w:tbl>
    <w:p w:rsidR="00FA6DE5" w:rsidRDefault="00FA6DE5" w:rsidP="00FA6DE5">
      <w:pPr>
        <w:spacing w:line="240" w:lineRule="auto"/>
        <w:ind w:firstLine="1304"/>
        <w:rPr>
          <w:rFonts w:asciiTheme="majorBidi" w:hAnsiTheme="majorBidi" w:cstheme="majorBidi"/>
          <w:sz w:val="28"/>
          <w:szCs w:val="28"/>
          <w:lang w:eastAsia="en-GB"/>
        </w:rPr>
      </w:pPr>
    </w:p>
    <w:p w:rsidR="00FA6DE5" w:rsidRPr="005B1A8D" w:rsidRDefault="00FA6DE5" w:rsidP="00FA6DE5">
      <w:pPr>
        <w:spacing w:line="240" w:lineRule="auto"/>
        <w:ind w:firstLine="1304"/>
        <w:rPr>
          <w:rFonts w:asciiTheme="majorBidi" w:hAnsiTheme="majorBidi" w:cstheme="majorBidi"/>
          <w:sz w:val="28"/>
          <w:szCs w:val="28"/>
          <w:lang w:eastAsia="en-GB"/>
        </w:rPr>
      </w:pPr>
      <w:r w:rsidRPr="005B1A8D">
        <w:rPr>
          <w:rFonts w:asciiTheme="majorBidi" w:hAnsiTheme="majorBidi" w:cstheme="majorBidi"/>
          <w:sz w:val="28"/>
          <w:szCs w:val="28"/>
          <w:lang w:eastAsia="en-GB"/>
        </w:rPr>
        <w:t xml:space="preserve">The SWAT model was calibrated and validated at monthly scale using the average monthly flows recorded in </w:t>
      </w:r>
      <w:proofErr w:type="spellStart"/>
      <w:r w:rsidRPr="005B1A8D">
        <w:rPr>
          <w:rFonts w:asciiTheme="majorBidi" w:hAnsiTheme="majorBidi" w:cstheme="majorBidi"/>
          <w:sz w:val="28"/>
          <w:szCs w:val="28"/>
          <w:lang w:eastAsia="en-GB"/>
        </w:rPr>
        <w:t>Bekhma</w:t>
      </w:r>
      <w:proofErr w:type="spellEnd"/>
      <w:r w:rsidRPr="005B1A8D">
        <w:rPr>
          <w:rFonts w:asciiTheme="majorBidi" w:hAnsiTheme="majorBidi" w:cstheme="majorBidi"/>
          <w:sz w:val="28"/>
          <w:szCs w:val="28"/>
          <w:lang w:eastAsia="en-GB"/>
        </w:rPr>
        <w:t xml:space="preserve"> station, </w:t>
      </w:r>
      <w:proofErr w:type="spellStart"/>
      <w:r w:rsidRPr="005B1A8D">
        <w:rPr>
          <w:rFonts w:asciiTheme="majorBidi" w:hAnsiTheme="majorBidi" w:cstheme="majorBidi"/>
          <w:sz w:val="28"/>
          <w:szCs w:val="28"/>
          <w:lang w:eastAsia="en-GB"/>
        </w:rPr>
        <w:t>Bakrman</w:t>
      </w:r>
      <w:proofErr w:type="spellEnd"/>
      <w:r w:rsidRPr="005B1A8D">
        <w:rPr>
          <w:rFonts w:asciiTheme="majorBidi" w:hAnsiTheme="majorBidi" w:cstheme="majorBidi"/>
          <w:sz w:val="28"/>
          <w:szCs w:val="28"/>
          <w:lang w:eastAsia="en-GB"/>
        </w:rPr>
        <w:t xml:space="preserve"> station, and </w:t>
      </w:r>
      <w:proofErr w:type="spellStart"/>
      <w:r w:rsidRPr="005B1A8D">
        <w:rPr>
          <w:rFonts w:asciiTheme="majorBidi" w:hAnsiTheme="majorBidi" w:cstheme="majorBidi"/>
          <w:sz w:val="28"/>
          <w:szCs w:val="28"/>
          <w:lang w:eastAsia="en-GB"/>
        </w:rPr>
        <w:t>Eski-Kelk</w:t>
      </w:r>
      <w:proofErr w:type="spellEnd"/>
      <w:r w:rsidRPr="005B1A8D">
        <w:rPr>
          <w:rFonts w:asciiTheme="majorBidi" w:hAnsiTheme="majorBidi" w:cstheme="majorBidi"/>
          <w:sz w:val="28"/>
          <w:szCs w:val="28"/>
          <w:lang w:eastAsia="en-GB"/>
        </w:rPr>
        <w:t xml:space="preserve"> station for various lengths of record and it showed good agreement. The calibrated model results showed that there had been a general decline in precipitation during the consecutive periods (1980-1990). (1990-2000) and (2000-2010). Generally, precipitation decreased from upstream more mountainous to downstream less mountainous areas and similarly from east to west.</w:t>
      </w:r>
    </w:p>
    <w:p w:rsidR="00FA6DE5" w:rsidRPr="005B1A8D" w:rsidRDefault="00FA6DE5" w:rsidP="00FA6DE5">
      <w:pPr>
        <w:spacing w:line="240" w:lineRule="auto"/>
        <w:ind w:firstLine="1304"/>
        <w:rPr>
          <w:rFonts w:asciiTheme="majorBidi" w:hAnsiTheme="majorBidi" w:cstheme="majorBidi"/>
          <w:sz w:val="28"/>
          <w:szCs w:val="28"/>
          <w:lang w:eastAsia="en-GB"/>
        </w:rPr>
      </w:pPr>
      <w:r w:rsidRPr="005B1A8D">
        <w:rPr>
          <w:rFonts w:asciiTheme="majorBidi" w:hAnsiTheme="majorBidi" w:cstheme="majorBidi"/>
          <w:sz w:val="28"/>
          <w:szCs w:val="28"/>
          <w:lang w:eastAsia="en-GB"/>
        </w:rPr>
        <w:t xml:space="preserve">Predictions for the three future periods of all models showed an increase of mean annual temperatures as given table (3) and decrease in mean annual precipitation as in table (4) for the period (2046-2064) and for the period (2080~2100). The (MRIC-GCM2.3.2.  GFD) yielded the highest decrease. These tables show the anomalies as percent deviation from the data of (1980~2010) for A2, A1B and B1 </w:t>
      </w:r>
      <w:r w:rsidRPr="005B1A8D">
        <w:rPr>
          <w:rFonts w:asciiTheme="majorBidi" w:hAnsiTheme="majorBidi" w:cstheme="majorBidi"/>
          <w:sz w:val="28"/>
          <w:szCs w:val="28"/>
          <w:lang w:eastAsia="en-GB"/>
        </w:rPr>
        <w:lastRenderedPageBreak/>
        <w:t>scenarios for the periods (2046~2064) and (2080-2100) respectively. The average change of multi-GCM ensemble A2 emission scenario produced the highest decreases while B1 emission scenario gave the lowest reductions.</w:t>
      </w:r>
    </w:p>
    <w:p w:rsidR="00FA6DE5" w:rsidRPr="005B1A8D" w:rsidRDefault="00FA6DE5" w:rsidP="00FA6DE5">
      <w:pPr>
        <w:spacing w:line="240" w:lineRule="auto"/>
        <w:rPr>
          <w:rFonts w:asciiTheme="majorBidi" w:hAnsiTheme="majorBidi" w:cstheme="majorBidi"/>
          <w:sz w:val="28"/>
          <w:szCs w:val="28"/>
          <w:lang w:eastAsia="en-GB"/>
        </w:rPr>
      </w:pPr>
    </w:p>
    <w:p w:rsidR="00FA6DE5" w:rsidRPr="005B1A8D" w:rsidRDefault="00FA6DE5" w:rsidP="00FA6DE5">
      <w:pPr>
        <w:spacing w:line="240" w:lineRule="auto"/>
        <w:rPr>
          <w:rFonts w:asciiTheme="majorBidi" w:hAnsiTheme="majorBidi" w:cstheme="majorBidi"/>
          <w:sz w:val="28"/>
          <w:szCs w:val="28"/>
          <w:lang w:eastAsia="en-GB"/>
        </w:rPr>
      </w:pPr>
    </w:p>
    <w:p w:rsidR="00FA6DE5" w:rsidRPr="005B1A8D" w:rsidRDefault="00FA6DE5" w:rsidP="00FA6DE5">
      <w:pPr>
        <w:spacing w:line="240" w:lineRule="auto"/>
        <w:ind w:firstLine="1304"/>
        <w:rPr>
          <w:rFonts w:asciiTheme="majorBidi" w:hAnsiTheme="majorBidi" w:cstheme="majorBidi"/>
          <w:sz w:val="28"/>
          <w:szCs w:val="28"/>
          <w:lang w:eastAsia="en-GB"/>
        </w:rPr>
      </w:pPr>
      <w:r w:rsidRPr="005B1A8D">
        <w:rPr>
          <w:rFonts w:asciiTheme="majorBidi" w:hAnsiTheme="majorBidi" w:cstheme="majorBidi"/>
          <w:sz w:val="28"/>
          <w:szCs w:val="28"/>
          <w:lang w:eastAsia="en-GB"/>
        </w:rPr>
        <w:t xml:space="preserve">The final conclusions drawn from the study show that the mean annual temperature of the six models would increase by about 2.6°C, 2.2°C and 1.3 °C under A2, A1B and B1, respectively for near future (2046~2064). For distant future, the mean temperature would increase by 5°C, 4.3°C and 1.55 °C for same scenarios, relative to base period (1980-2010).   Modeling also showed a decrease in mean annual precipitation at half-a-century future (2046~2064) and one-century future (2080~2100) except MRI CGCM2.3.2. GFDL, which yielded the highest decrease. For the (2046~2064) there will be an average decreases of 16%, 12% and 5% under A2, A1B, and B1 scenarios, and in the one-century future, the reductions will increase to 22%, 16%, and 10% under A2, A1B andB1 scenarios, respectively compared to the base period. 2080-2100. </w:t>
      </w:r>
      <w:proofErr w:type="gramStart"/>
      <w:r w:rsidRPr="005B1A8D">
        <w:rPr>
          <w:rFonts w:asciiTheme="majorBidi" w:hAnsiTheme="majorBidi" w:cstheme="majorBidi"/>
          <w:sz w:val="28"/>
          <w:szCs w:val="28"/>
          <w:lang w:eastAsia="en-GB"/>
        </w:rPr>
        <w:t>Similarly</w:t>
      </w:r>
      <w:proofErr w:type="gramEnd"/>
      <w:r w:rsidRPr="005B1A8D">
        <w:rPr>
          <w:rFonts w:asciiTheme="majorBidi" w:hAnsiTheme="majorBidi" w:cstheme="majorBidi"/>
          <w:sz w:val="28"/>
          <w:szCs w:val="28"/>
          <w:lang w:eastAsia="en-GB"/>
        </w:rPr>
        <w:t>, green water storage will decrease under the three emission scenarios for the two future periods. Green water flow calculations indicated a slight decrease in evapotranspiration due to an assumption that land cover would not significantly change from the period of 1980 to 2010 in the future).</w:t>
      </w:r>
    </w:p>
    <w:p w:rsidR="00FA6DE5" w:rsidRPr="005B1A8D" w:rsidRDefault="00FA6DE5" w:rsidP="00FA6DE5">
      <w:pPr>
        <w:spacing w:line="240" w:lineRule="auto"/>
        <w:jc w:val="center"/>
        <w:rPr>
          <w:rFonts w:asciiTheme="majorBidi" w:hAnsiTheme="majorBidi" w:cstheme="majorBidi"/>
          <w:sz w:val="28"/>
          <w:szCs w:val="28"/>
          <w:lang w:eastAsia="en-GB"/>
        </w:rPr>
      </w:pPr>
    </w:p>
    <w:p w:rsidR="00FA6DE5" w:rsidRPr="005B1A8D" w:rsidRDefault="00FA6DE5" w:rsidP="00FA6DE5">
      <w:pPr>
        <w:spacing w:line="240" w:lineRule="auto"/>
        <w:jc w:val="center"/>
        <w:rPr>
          <w:rFonts w:asciiTheme="majorBidi" w:hAnsiTheme="majorBidi" w:cstheme="majorBidi"/>
          <w:sz w:val="28"/>
          <w:szCs w:val="28"/>
          <w:lang w:eastAsia="en-GB"/>
        </w:rPr>
      </w:pPr>
    </w:p>
    <w:p w:rsidR="00FA6DE5" w:rsidRPr="005B1A8D" w:rsidRDefault="00FA6DE5" w:rsidP="00FA6DE5">
      <w:pPr>
        <w:spacing w:line="240" w:lineRule="auto"/>
        <w:jc w:val="center"/>
        <w:rPr>
          <w:rFonts w:asciiTheme="majorBidi" w:hAnsiTheme="majorBidi" w:cstheme="majorBidi"/>
          <w:i/>
          <w:iCs/>
          <w:noProof/>
          <w:lang w:val="en-GB" w:eastAsia="en-GB"/>
        </w:rPr>
      </w:pPr>
      <w:r w:rsidRPr="005B1A8D">
        <w:rPr>
          <w:rFonts w:asciiTheme="majorBidi" w:hAnsiTheme="majorBidi" w:cstheme="majorBidi"/>
          <w:i/>
          <w:iCs/>
          <w:noProof/>
          <w:lang w:val="en-GB" w:eastAsia="en-GB"/>
        </w:rPr>
        <w:t>Table 4: GCM predicted changes in the mean annual precipitation of the future under A2, A1B and B1 scenarios.</w:t>
      </w:r>
    </w:p>
    <w:tbl>
      <w:tblPr>
        <w:tblStyle w:val="TableGrid1"/>
        <w:bidiVisual/>
        <w:tblW w:w="6379" w:type="dxa"/>
        <w:jc w:val="center"/>
        <w:tblLook w:val="04A0" w:firstRow="1" w:lastRow="0" w:firstColumn="1" w:lastColumn="0" w:noHBand="0" w:noVBand="1"/>
      </w:tblPr>
      <w:tblGrid>
        <w:gridCol w:w="992"/>
        <w:gridCol w:w="945"/>
        <w:gridCol w:w="905"/>
        <w:gridCol w:w="935"/>
        <w:gridCol w:w="767"/>
        <w:gridCol w:w="921"/>
        <w:gridCol w:w="914"/>
      </w:tblGrid>
      <w:tr w:rsidR="00FA6DE5" w:rsidRPr="00635D03" w:rsidTr="003D04DC">
        <w:trPr>
          <w:trHeight w:val="180"/>
          <w:jc w:val="center"/>
        </w:trPr>
        <w:tc>
          <w:tcPr>
            <w:tcW w:w="5465" w:type="dxa"/>
            <w:gridSpan w:val="6"/>
            <w:tcBorders>
              <w:top w:val="single" w:sz="12" w:space="0" w:color="auto"/>
              <w:left w:val="single" w:sz="12" w:space="0" w:color="auto"/>
              <w:bottom w:val="single" w:sz="12" w:space="0" w:color="auto"/>
              <w:right w:val="single" w:sz="12" w:space="0" w:color="auto"/>
            </w:tcBorders>
          </w:tcPr>
          <w:p w:rsidR="00FA6DE5" w:rsidRPr="00635D03" w:rsidRDefault="00FA6DE5" w:rsidP="003D04DC">
            <w:pPr>
              <w:bidi/>
              <w:rPr>
                <w:rFonts w:asciiTheme="majorBidi" w:hAnsiTheme="majorBidi" w:cstheme="majorBidi"/>
                <w:b/>
                <w:bCs/>
                <w:sz w:val="16"/>
                <w:szCs w:val="16"/>
              </w:rPr>
            </w:pPr>
          </w:p>
          <w:p w:rsidR="00FA6DE5" w:rsidRPr="00635D03" w:rsidRDefault="00FA6DE5" w:rsidP="003D04DC">
            <w:pPr>
              <w:bidi/>
              <w:jc w:val="center"/>
              <w:rPr>
                <w:rFonts w:asciiTheme="majorBidi" w:hAnsiTheme="majorBidi" w:cstheme="majorBidi"/>
                <w:b/>
                <w:bCs/>
                <w:sz w:val="16"/>
                <w:szCs w:val="16"/>
              </w:rPr>
            </w:pPr>
            <w:r w:rsidRPr="00635D03">
              <w:rPr>
                <w:rFonts w:asciiTheme="majorBidi" w:hAnsiTheme="majorBidi" w:cstheme="majorBidi"/>
                <w:b/>
                <w:bCs/>
                <w:sz w:val="16"/>
                <w:szCs w:val="16"/>
              </w:rPr>
              <w:t>Annual Change in Precipitation (%)</w:t>
            </w:r>
          </w:p>
          <w:p w:rsidR="00FA6DE5" w:rsidRPr="00635D03" w:rsidRDefault="00FA6DE5" w:rsidP="003D04DC">
            <w:pPr>
              <w:bidi/>
              <w:jc w:val="center"/>
              <w:rPr>
                <w:rFonts w:asciiTheme="majorBidi" w:hAnsiTheme="majorBidi" w:cstheme="majorBidi"/>
                <w:b/>
                <w:bCs/>
                <w:sz w:val="16"/>
                <w:szCs w:val="16"/>
                <w:rtl/>
              </w:rPr>
            </w:pPr>
          </w:p>
        </w:tc>
        <w:tc>
          <w:tcPr>
            <w:tcW w:w="914" w:type="dxa"/>
            <w:vMerge w:val="restart"/>
            <w:tcBorders>
              <w:top w:val="single" w:sz="12" w:space="0" w:color="auto"/>
              <w:left w:val="single" w:sz="12" w:space="0" w:color="auto"/>
              <w:bottom w:val="single" w:sz="12" w:space="0" w:color="auto"/>
              <w:right w:val="single" w:sz="12" w:space="0" w:color="auto"/>
            </w:tcBorders>
          </w:tcPr>
          <w:p w:rsidR="00FA6DE5" w:rsidRPr="00635D03" w:rsidRDefault="00FA6DE5" w:rsidP="003D04DC">
            <w:pPr>
              <w:bidi/>
              <w:jc w:val="center"/>
              <w:rPr>
                <w:rFonts w:asciiTheme="majorBidi" w:hAnsiTheme="majorBidi" w:cstheme="majorBidi"/>
                <w:b/>
                <w:bCs/>
                <w:sz w:val="16"/>
                <w:szCs w:val="16"/>
              </w:rPr>
            </w:pPr>
            <w:r w:rsidRPr="00635D03">
              <w:rPr>
                <w:rFonts w:asciiTheme="majorBidi" w:hAnsiTheme="majorBidi" w:cstheme="majorBidi"/>
                <w:b/>
                <w:bCs/>
                <w:sz w:val="16"/>
                <w:szCs w:val="16"/>
              </w:rPr>
              <w:t xml:space="preserve"> </w:t>
            </w:r>
          </w:p>
          <w:p w:rsidR="00FA6DE5" w:rsidRPr="00635D03" w:rsidRDefault="00FA6DE5" w:rsidP="003D04DC">
            <w:pPr>
              <w:bidi/>
              <w:jc w:val="center"/>
              <w:rPr>
                <w:rFonts w:asciiTheme="majorBidi" w:hAnsiTheme="majorBidi" w:cstheme="majorBidi"/>
                <w:b/>
                <w:bCs/>
                <w:sz w:val="16"/>
                <w:szCs w:val="16"/>
              </w:rPr>
            </w:pPr>
          </w:p>
          <w:p w:rsidR="00FA6DE5" w:rsidRPr="00635D03" w:rsidRDefault="00FA6DE5" w:rsidP="003D04DC">
            <w:pPr>
              <w:bidi/>
              <w:jc w:val="center"/>
              <w:rPr>
                <w:rFonts w:asciiTheme="majorBidi" w:hAnsiTheme="majorBidi" w:cstheme="majorBidi"/>
                <w:b/>
                <w:bCs/>
                <w:sz w:val="16"/>
                <w:szCs w:val="16"/>
              </w:rPr>
            </w:pPr>
            <w:r w:rsidRPr="00635D03">
              <w:rPr>
                <w:rFonts w:asciiTheme="majorBidi" w:hAnsiTheme="majorBidi" w:cstheme="majorBidi"/>
                <w:b/>
                <w:bCs/>
                <w:sz w:val="16"/>
                <w:szCs w:val="16"/>
              </w:rPr>
              <w:t>Period</w:t>
            </w:r>
          </w:p>
          <w:p w:rsidR="00FA6DE5" w:rsidRPr="00635D03" w:rsidRDefault="00FA6DE5" w:rsidP="003D04DC">
            <w:pPr>
              <w:bidi/>
              <w:jc w:val="center"/>
              <w:rPr>
                <w:rFonts w:asciiTheme="majorBidi" w:hAnsiTheme="majorBidi" w:cstheme="majorBidi"/>
                <w:b/>
                <w:bCs/>
                <w:sz w:val="16"/>
                <w:szCs w:val="16"/>
              </w:rPr>
            </w:pPr>
          </w:p>
          <w:p w:rsidR="00FA6DE5" w:rsidRPr="00635D03" w:rsidRDefault="00FA6DE5" w:rsidP="003D04DC">
            <w:pPr>
              <w:bidi/>
              <w:jc w:val="center"/>
              <w:rPr>
                <w:rFonts w:asciiTheme="majorBidi" w:hAnsiTheme="majorBidi" w:cstheme="majorBidi"/>
                <w:b/>
                <w:bCs/>
                <w:sz w:val="16"/>
                <w:szCs w:val="16"/>
              </w:rPr>
            </w:pPr>
          </w:p>
          <w:p w:rsidR="00FA6DE5" w:rsidRPr="00635D03" w:rsidRDefault="00FA6DE5" w:rsidP="003D04DC">
            <w:pPr>
              <w:bidi/>
              <w:jc w:val="center"/>
              <w:rPr>
                <w:rFonts w:asciiTheme="majorBidi" w:hAnsiTheme="majorBidi" w:cstheme="majorBidi"/>
                <w:b/>
                <w:bCs/>
                <w:sz w:val="16"/>
                <w:szCs w:val="16"/>
                <w:rtl/>
              </w:rPr>
            </w:pPr>
          </w:p>
        </w:tc>
      </w:tr>
      <w:tr w:rsidR="00FA6DE5" w:rsidRPr="00635D03" w:rsidTr="003D04DC">
        <w:trPr>
          <w:trHeight w:val="90"/>
          <w:jc w:val="center"/>
        </w:trPr>
        <w:tc>
          <w:tcPr>
            <w:tcW w:w="992" w:type="dxa"/>
            <w:tcBorders>
              <w:top w:val="single" w:sz="12" w:space="0" w:color="auto"/>
              <w:left w:val="single" w:sz="12" w:space="0" w:color="auto"/>
              <w:bottom w:val="single" w:sz="12" w:space="0" w:color="auto"/>
              <w:right w:val="single" w:sz="12" w:space="0" w:color="auto"/>
            </w:tcBorders>
          </w:tcPr>
          <w:p w:rsidR="00FA6DE5" w:rsidRPr="00635D03" w:rsidRDefault="00FA6DE5" w:rsidP="003D04DC">
            <w:pPr>
              <w:bidi/>
              <w:jc w:val="right"/>
              <w:rPr>
                <w:rFonts w:asciiTheme="majorBidi" w:hAnsiTheme="majorBidi" w:cstheme="majorBidi"/>
                <w:b/>
                <w:bCs/>
                <w:sz w:val="16"/>
                <w:szCs w:val="16"/>
                <w:rtl/>
              </w:rPr>
            </w:pPr>
            <w:r w:rsidRPr="00635D03">
              <w:rPr>
                <w:rFonts w:asciiTheme="majorBidi" w:hAnsiTheme="majorBidi" w:cstheme="majorBidi"/>
                <w:b/>
                <w:bCs/>
                <w:sz w:val="16"/>
                <w:szCs w:val="16"/>
              </w:rPr>
              <w:t>MRI CGM2 3.2</w:t>
            </w:r>
          </w:p>
        </w:tc>
        <w:tc>
          <w:tcPr>
            <w:tcW w:w="945" w:type="dxa"/>
            <w:tcBorders>
              <w:top w:val="single" w:sz="12" w:space="0" w:color="auto"/>
              <w:left w:val="single" w:sz="12" w:space="0" w:color="auto"/>
              <w:bottom w:val="single" w:sz="12" w:space="0" w:color="auto"/>
              <w:right w:val="single" w:sz="12" w:space="0" w:color="auto"/>
            </w:tcBorders>
          </w:tcPr>
          <w:p w:rsidR="00FA6DE5" w:rsidRPr="00635D03" w:rsidRDefault="00FA6DE5" w:rsidP="003D04DC">
            <w:pPr>
              <w:bidi/>
              <w:jc w:val="right"/>
              <w:rPr>
                <w:rFonts w:asciiTheme="majorBidi" w:hAnsiTheme="majorBidi" w:cstheme="majorBidi"/>
                <w:b/>
                <w:bCs/>
                <w:sz w:val="16"/>
                <w:szCs w:val="16"/>
                <w:rtl/>
              </w:rPr>
            </w:pPr>
            <w:r w:rsidRPr="00635D03">
              <w:rPr>
                <w:rFonts w:asciiTheme="majorBidi" w:hAnsiTheme="majorBidi" w:cstheme="majorBidi"/>
                <w:b/>
                <w:bCs/>
                <w:sz w:val="16"/>
                <w:szCs w:val="16"/>
              </w:rPr>
              <w:t>MIROC 3.2</w:t>
            </w:r>
          </w:p>
        </w:tc>
        <w:tc>
          <w:tcPr>
            <w:tcW w:w="905" w:type="dxa"/>
            <w:tcBorders>
              <w:top w:val="single" w:sz="12" w:space="0" w:color="auto"/>
              <w:left w:val="single" w:sz="12" w:space="0" w:color="auto"/>
              <w:bottom w:val="single" w:sz="12" w:space="0" w:color="auto"/>
              <w:right w:val="single" w:sz="12" w:space="0" w:color="auto"/>
            </w:tcBorders>
          </w:tcPr>
          <w:p w:rsidR="00FA6DE5" w:rsidRPr="00635D03" w:rsidRDefault="00FA6DE5" w:rsidP="003D04DC">
            <w:pPr>
              <w:bidi/>
              <w:jc w:val="center"/>
              <w:rPr>
                <w:rFonts w:asciiTheme="majorBidi" w:hAnsiTheme="majorBidi" w:cstheme="majorBidi"/>
                <w:b/>
                <w:bCs/>
                <w:sz w:val="16"/>
                <w:szCs w:val="16"/>
                <w:rtl/>
              </w:rPr>
            </w:pPr>
            <w:r w:rsidRPr="00635D03">
              <w:rPr>
                <w:rFonts w:asciiTheme="majorBidi" w:hAnsiTheme="majorBidi" w:cstheme="majorBidi"/>
                <w:b/>
                <w:bCs/>
                <w:sz w:val="16"/>
                <w:szCs w:val="16"/>
              </w:rPr>
              <w:t>MIROC3. 2</w:t>
            </w:r>
          </w:p>
        </w:tc>
        <w:tc>
          <w:tcPr>
            <w:tcW w:w="935" w:type="dxa"/>
            <w:tcBorders>
              <w:top w:val="single" w:sz="12" w:space="0" w:color="auto"/>
              <w:left w:val="single" w:sz="12" w:space="0" w:color="auto"/>
              <w:bottom w:val="single" w:sz="12" w:space="0" w:color="auto"/>
              <w:right w:val="single" w:sz="12" w:space="0" w:color="auto"/>
            </w:tcBorders>
          </w:tcPr>
          <w:p w:rsidR="00FA6DE5" w:rsidRPr="00635D03" w:rsidRDefault="00FA6DE5" w:rsidP="003D04DC">
            <w:pPr>
              <w:bidi/>
              <w:jc w:val="center"/>
              <w:rPr>
                <w:rFonts w:asciiTheme="majorBidi" w:hAnsiTheme="majorBidi" w:cstheme="majorBidi"/>
                <w:b/>
                <w:bCs/>
                <w:sz w:val="16"/>
                <w:szCs w:val="16"/>
                <w:rtl/>
              </w:rPr>
            </w:pPr>
            <w:r w:rsidRPr="00635D03">
              <w:rPr>
                <w:rFonts w:asciiTheme="majorBidi" w:hAnsiTheme="majorBidi" w:cstheme="majorBidi"/>
                <w:b/>
                <w:bCs/>
                <w:sz w:val="16"/>
                <w:szCs w:val="16"/>
              </w:rPr>
              <w:t>GFDL-CM 2. 1</w:t>
            </w:r>
          </w:p>
        </w:tc>
        <w:tc>
          <w:tcPr>
            <w:tcW w:w="767" w:type="dxa"/>
            <w:tcBorders>
              <w:top w:val="single" w:sz="12" w:space="0" w:color="auto"/>
              <w:left w:val="single" w:sz="12" w:space="0" w:color="auto"/>
              <w:bottom w:val="single" w:sz="12" w:space="0" w:color="auto"/>
              <w:right w:val="single" w:sz="12" w:space="0" w:color="auto"/>
            </w:tcBorders>
          </w:tcPr>
          <w:p w:rsidR="00FA6DE5" w:rsidRPr="00635D03" w:rsidRDefault="00FA6DE5" w:rsidP="003D04DC">
            <w:pPr>
              <w:bidi/>
              <w:jc w:val="center"/>
              <w:rPr>
                <w:rFonts w:asciiTheme="majorBidi" w:hAnsiTheme="majorBidi" w:cstheme="majorBidi"/>
                <w:b/>
                <w:bCs/>
                <w:sz w:val="16"/>
                <w:szCs w:val="16"/>
                <w:rtl/>
              </w:rPr>
            </w:pPr>
            <w:r w:rsidRPr="00635D03">
              <w:rPr>
                <w:rFonts w:asciiTheme="majorBidi" w:hAnsiTheme="majorBidi" w:cstheme="majorBidi"/>
                <w:b/>
                <w:bCs/>
                <w:sz w:val="16"/>
                <w:szCs w:val="16"/>
              </w:rPr>
              <w:t>CNRM-CM3</w:t>
            </w:r>
          </w:p>
        </w:tc>
        <w:tc>
          <w:tcPr>
            <w:tcW w:w="921" w:type="dxa"/>
            <w:tcBorders>
              <w:top w:val="single" w:sz="12" w:space="0" w:color="auto"/>
              <w:left w:val="single" w:sz="12" w:space="0" w:color="auto"/>
              <w:bottom w:val="single" w:sz="12" w:space="0" w:color="auto"/>
              <w:right w:val="single" w:sz="12" w:space="0" w:color="auto"/>
            </w:tcBorders>
          </w:tcPr>
          <w:p w:rsidR="00FA6DE5" w:rsidRPr="00635D03" w:rsidRDefault="00FA6DE5" w:rsidP="003D04DC">
            <w:pPr>
              <w:bidi/>
              <w:jc w:val="center"/>
              <w:rPr>
                <w:rFonts w:asciiTheme="majorBidi" w:hAnsiTheme="majorBidi" w:cstheme="majorBidi"/>
                <w:b/>
                <w:bCs/>
                <w:sz w:val="16"/>
                <w:szCs w:val="16"/>
              </w:rPr>
            </w:pPr>
            <w:r w:rsidRPr="00635D03">
              <w:rPr>
                <w:rFonts w:asciiTheme="majorBidi" w:hAnsiTheme="majorBidi" w:cstheme="majorBidi"/>
                <w:b/>
                <w:bCs/>
                <w:sz w:val="16"/>
                <w:szCs w:val="16"/>
              </w:rPr>
              <w:t>CGC-M31/447</w:t>
            </w:r>
          </w:p>
          <w:p w:rsidR="00FA6DE5" w:rsidRPr="00635D03" w:rsidRDefault="00FA6DE5" w:rsidP="003D04DC">
            <w:pPr>
              <w:bidi/>
              <w:jc w:val="center"/>
              <w:rPr>
                <w:rFonts w:asciiTheme="majorBidi" w:hAnsiTheme="majorBidi" w:cstheme="majorBidi"/>
                <w:b/>
                <w:bCs/>
                <w:sz w:val="16"/>
                <w:szCs w:val="16"/>
                <w:rtl/>
              </w:rPr>
            </w:pPr>
          </w:p>
        </w:tc>
        <w:tc>
          <w:tcPr>
            <w:tcW w:w="914" w:type="dxa"/>
            <w:vMerge/>
            <w:tcBorders>
              <w:top w:val="single" w:sz="12" w:space="0" w:color="auto"/>
              <w:left w:val="single" w:sz="12" w:space="0" w:color="auto"/>
              <w:bottom w:val="single" w:sz="12" w:space="0" w:color="auto"/>
              <w:right w:val="single" w:sz="12" w:space="0" w:color="auto"/>
            </w:tcBorders>
          </w:tcPr>
          <w:p w:rsidR="00FA6DE5" w:rsidRPr="00635D03" w:rsidRDefault="00FA6DE5" w:rsidP="003D04DC">
            <w:pPr>
              <w:bidi/>
              <w:jc w:val="center"/>
              <w:rPr>
                <w:rFonts w:asciiTheme="majorBidi" w:hAnsiTheme="majorBidi" w:cstheme="majorBidi"/>
                <w:b/>
                <w:bCs/>
                <w:sz w:val="16"/>
                <w:szCs w:val="16"/>
              </w:rPr>
            </w:pPr>
          </w:p>
        </w:tc>
      </w:tr>
      <w:tr w:rsidR="00FA6DE5" w:rsidRPr="00635D03" w:rsidTr="003D04DC">
        <w:trPr>
          <w:trHeight w:val="234"/>
          <w:jc w:val="center"/>
        </w:trPr>
        <w:tc>
          <w:tcPr>
            <w:tcW w:w="6379" w:type="dxa"/>
            <w:gridSpan w:val="7"/>
            <w:tcBorders>
              <w:top w:val="single" w:sz="12" w:space="0" w:color="auto"/>
              <w:left w:val="single" w:sz="12" w:space="0" w:color="auto"/>
              <w:bottom w:val="single" w:sz="12" w:space="0" w:color="auto"/>
              <w:right w:val="single" w:sz="12" w:space="0" w:color="auto"/>
            </w:tcBorders>
            <w:shd w:val="clear" w:color="auto" w:fill="EEECE1"/>
          </w:tcPr>
          <w:p w:rsidR="00FA6DE5" w:rsidRPr="00635D03" w:rsidRDefault="00FA6DE5" w:rsidP="003D04DC">
            <w:pPr>
              <w:bidi/>
              <w:jc w:val="right"/>
              <w:rPr>
                <w:rFonts w:asciiTheme="majorBidi" w:hAnsiTheme="majorBidi" w:cstheme="majorBidi"/>
                <w:b/>
                <w:bCs/>
                <w:sz w:val="16"/>
                <w:szCs w:val="16"/>
              </w:rPr>
            </w:pPr>
            <w:r w:rsidRPr="00635D03">
              <w:rPr>
                <w:rFonts w:asciiTheme="majorBidi" w:hAnsiTheme="majorBidi" w:cstheme="majorBidi"/>
                <w:b/>
                <w:bCs/>
                <w:sz w:val="16"/>
                <w:szCs w:val="16"/>
              </w:rPr>
              <w:t>A</w:t>
            </w:r>
          </w:p>
          <w:p w:rsidR="00FA6DE5" w:rsidRPr="00635D03" w:rsidRDefault="00FA6DE5" w:rsidP="003D04DC">
            <w:pPr>
              <w:bidi/>
              <w:rPr>
                <w:rFonts w:asciiTheme="majorBidi" w:hAnsiTheme="majorBidi" w:cstheme="majorBidi"/>
                <w:b/>
                <w:bCs/>
                <w:sz w:val="16"/>
                <w:szCs w:val="16"/>
                <w:rtl/>
              </w:rPr>
            </w:pPr>
          </w:p>
        </w:tc>
      </w:tr>
      <w:tr w:rsidR="00FA6DE5" w:rsidRPr="00635D03" w:rsidTr="003D04DC">
        <w:trPr>
          <w:jc w:val="center"/>
        </w:trPr>
        <w:tc>
          <w:tcPr>
            <w:tcW w:w="992" w:type="dxa"/>
            <w:tcBorders>
              <w:top w:val="single" w:sz="12" w:space="0" w:color="auto"/>
              <w:left w:val="single" w:sz="12" w:space="0" w:color="auto"/>
              <w:bottom w:val="single" w:sz="12" w:space="0" w:color="auto"/>
              <w:right w:val="single" w:sz="12" w:space="0" w:color="auto"/>
            </w:tcBorders>
          </w:tcPr>
          <w:p w:rsidR="00FA6DE5" w:rsidRPr="00635D03" w:rsidRDefault="00FA6DE5" w:rsidP="003D04DC">
            <w:pPr>
              <w:bidi/>
              <w:jc w:val="center"/>
              <w:rPr>
                <w:rFonts w:asciiTheme="majorBidi" w:hAnsiTheme="majorBidi" w:cstheme="majorBidi"/>
                <w:b/>
                <w:bCs/>
                <w:sz w:val="16"/>
                <w:szCs w:val="16"/>
              </w:rPr>
            </w:pPr>
            <w:r w:rsidRPr="00635D03">
              <w:rPr>
                <w:rFonts w:asciiTheme="majorBidi" w:hAnsiTheme="majorBidi" w:cstheme="majorBidi"/>
                <w:b/>
                <w:bCs/>
                <w:sz w:val="16"/>
                <w:szCs w:val="16"/>
              </w:rPr>
              <w:t>0.1 2</w:t>
            </w:r>
          </w:p>
          <w:p w:rsidR="00FA6DE5" w:rsidRPr="00635D03" w:rsidRDefault="00FA6DE5" w:rsidP="003D04DC">
            <w:pPr>
              <w:bidi/>
              <w:jc w:val="center"/>
              <w:rPr>
                <w:rFonts w:asciiTheme="majorBidi" w:hAnsiTheme="majorBidi" w:cstheme="majorBidi"/>
                <w:b/>
                <w:bCs/>
                <w:sz w:val="16"/>
                <w:szCs w:val="16"/>
                <w:rtl/>
              </w:rPr>
            </w:pPr>
            <w:r w:rsidRPr="00635D03">
              <w:rPr>
                <w:rFonts w:asciiTheme="majorBidi" w:hAnsiTheme="majorBidi" w:cstheme="majorBidi"/>
                <w:b/>
                <w:bCs/>
                <w:sz w:val="16"/>
                <w:szCs w:val="16"/>
              </w:rPr>
              <w:lastRenderedPageBreak/>
              <w:t>-0.11</w:t>
            </w:r>
          </w:p>
        </w:tc>
        <w:tc>
          <w:tcPr>
            <w:tcW w:w="945" w:type="dxa"/>
            <w:tcBorders>
              <w:top w:val="single" w:sz="12" w:space="0" w:color="auto"/>
              <w:left w:val="single" w:sz="12" w:space="0" w:color="auto"/>
              <w:bottom w:val="single" w:sz="12" w:space="0" w:color="auto"/>
              <w:right w:val="single" w:sz="12" w:space="0" w:color="auto"/>
            </w:tcBorders>
          </w:tcPr>
          <w:p w:rsidR="00FA6DE5" w:rsidRPr="00635D03" w:rsidRDefault="00FA6DE5" w:rsidP="003D04DC">
            <w:pPr>
              <w:bidi/>
              <w:jc w:val="center"/>
              <w:rPr>
                <w:rFonts w:asciiTheme="majorBidi" w:hAnsiTheme="majorBidi" w:cstheme="majorBidi"/>
                <w:b/>
                <w:bCs/>
                <w:sz w:val="16"/>
                <w:szCs w:val="16"/>
              </w:rPr>
            </w:pPr>
            <w:r w:rsidRPr="00635D03">
              <w:rPr>
                <w:rFonts w:asciiTheme="majorBidi" w:hAnsiTheme="majorBidi" w:cstheme="majorBidi"/>
                <w:b/>
                <w:bCs/>
                <w:sz w:val="16"/>
                <w:szCs w:val="16"/>
              </w:rPr>
              <w:lastRenderedPageBreak/>
              <w:t>- 0.18</w:t>
            </w:r>
          </w:p>
          <w:p w:rsidR="00FA6DE5" w:rsidRPr="00635D03" w:rsidRDefault="00FA6DE5" w:rsidP="003D04DC">
            <w:pPr>
              <w:bidi/>
              <w:jc w:val="center"/>
              <w:rPr>
                <w:rFonts w:asciiTheme="majorBidi" w:hAnsiTheme="majorBidi" w:cstheme="majorBidi"/>
                <w:b/>
                <w:bCs/>
                <w:sz w:val="16"/>
                <w:szCs w:val="16"/>
                <w:rtl/>
              </w:rPr>
            </w:pPr>
            <w:r w:rsidRPr="00635D03">
              <w:rPr>
                <w:rFonts w:asciiTheme="majorBidi" w:hAnsiTheme="majorBidi" w:cstheme="majorBidi"/>
                <w:b/>
                <w:bCs/>
                <w:sz w:val="16"/>
                <w:szCs w:val="16"/>
              </w:rPr>
              <w:lastRenderedPageBreak/>
              <w:t>- 0.28</w:t>
            </w:r>
          </w:p>
        </w:tc>
        <w:tc>
          <w:tcPr>
            <w:tcW w:w="905" w:type="dxa"/>
            <w:tcBorders>
              <w:top w:val="single" w:sz="12" w:space="0" w:color="auto"/>
              <w:left w:val="single" w:sz="12" w:space="0" w:color="auto"/>
              <w:bottom w:val="single" w:sz="12" w:space="0" w:color="auto"/>
              <w:right w:val="single" w:sz="12" w:space="0" w:color="auto"/>
            </w:tcBorders>
          </w:tcPr>
          <w:p w:rsidR="00FA6DE5" w:rsidRPr="00635D03" w:rsidRDefault="00FA6DE5" w:rsidP="003D04DC">
            <w:pPr>
              <w:bidi/>
              <w:jc w:val="center"/>
              <w:rPr>
                <w:rFonts w:asciiTheme="majorBidi" w:hAnsiTheme="majorBidi" w:cstheme="majorBidi"/>
                <w:b/>
                <w:bCs/>
                <w:sz w:val="16"/>
                <w:szCs w:val="16"/>
              </w:rPr>
            </w:pPr>
            <w:r w:rsidRPr="00635D03">
              <w:rPr>
                <w:rFonts w:asciiTheme="majorBidi" w:hAnsiTheme="majorBidi" w:cstheme="majorBidi"/>
                <w:b/>
                <w:bCs/>
                <w:sz w:val="16"/>
                <w:szCs w:val="16"/>
              </w:rPr>
              <w:lastRenderedPageBreak/>
              <w:t>-.018</w:t>
            </w:r>
          </w:p>
          <w:p w:rsidR="00FA6DE5" w:rsidRPr="00635D03" w:rsidRDefault="00FA6DE5" w:rsidP="003D04DC">
            <w:pPr>
              <w:bidi/>
              <w:jc w:val="center"/>
              <w:rPr>
                <w:rFonts w:asciiTheme="majorBidi" w:hAnsiTheme="majorBidi" w:cstheme="majorBidi"/>
                <w:b/>
                <w:bCs/>
                <w:sz w:val="16"/>
                <w:szCs w:val="16"/>
                <w:rtl/>
              </w:rPr>
            </w:pPr>
            <w:r w:rsidRPr="00635D03">
              <w:rPr>
                <w:rFonts w:asciiTheme="majorBidi" w:hAnsiTheme="majorBidi" w:cstheme="majorBidi"/>
                <w:b/>
                <w:bCs/>
                <w:sz w:val="16"/>
                <w:szCs w:val="16"/>
              </w:rPr>
              <w:lastRenderedPageBreak/>
              <w:t>- 0.26</w:t>
            </w:r>
          </w:p>
        </w:tc>
        <w:tc>
          <w:tcPr>
            <w:tcW w:w="935" w:type="dxa"/>
            <w:tcBorders>
              <w:top w:val="single" w:sz="12" w:space="0" w:color="auto"/>
              <w:left w:val="single" w:sz="12" w:space="0" w:color="auto"/>
              <w:bottom w:val="single" w:sz="12" w:space="0" w:color="auto"/>
              <w:right w:val="single" w:sz="12" w:space="0" w:color="auto"/>
            </w:tcBorders>
          </w:tcPr>
          <w:p w:rsidR="00FA6DE5" w:rsidRPr="00635D03" w:rsidRDefault="00FA6DE5" w:rsidP="003D04DC">
            <w:pPr>
              <w:bidi/>
              <w:jc w:val="center"/>
              <w:rPr>
                <w:rFonts w:asciiTheme="majorBidi" w:hAnsiTheme="majorBidi" w:cstheme="majorBidi"/>
                <w:b/>
                <w:bCs/>
                <w:sz w:val="16"/>
                <w:szCs w:val="16"/>
              </w:rPr>
            </w:pPr>
            <w:r w:rsidRPr="00635D03">
              <w:rPr>
                <w:rFonts w:asciiTheme="majorBidi" w:hAnsiTheme="majorBidi" w:cstheme="majorBidi"/>
                <w:b/>
                <w:bCs/>
                <w:sz w:val="16"/>
                <w:szCs w:val="16"/>
              </w:rPr>
              <w:lastRenderedPageBreak/>
              <w:t>-.018</w:t>
            </w:r>
          </w:p>
          <w:p w:rsidR="00FA6DE5" w:rsidRPr="00635D03" w:rsidRDefault="00FA6DE5" w:rsidP="003D04DC">
            <w:pPr>
              <w:bidi/>
              <w:jc w:val="center"/>
              <w:rPr>
                <w:rFonts w:asciiTheme="majorBidi" w:hAnsiTheme="majorBidi" w:cstheme="majorBidi"/>
                <w:b/>
                <w:bCs/>
                <w:sz w:val="16"/>
                <w:szCs w:val="16"/>
                <w:rtl/>
              </w:rPr>
            </w:pPr>
            <w:r w:rsidRPr="00635D03">
              <w:rPr>
                <w:rFonts w:asciiTheme="majorBidi" w:hAnsiTheme="majorBidi" w:cstheme="majorBidi"/>
                <w:b/>
                <w:bCs/>
                <w:sz w:val="16"/>
                <w:szCs w:val="16"/>
              </w:rPr>
              <w:lastRenderedPageBreak/>
              <w:t>-.0.35</w:t>
            </w:r>
          </w:p>
        </w:tc>
        <w:tc>
          <w:tcPr>
            <w:tcW w:w="767" w:type="dxa"/>
            <w:tcBorders>
              <w:top w:val="single" w:sz="12" w:space="0" w:color="auto"/>
              <w:left w:val="single" w:sz="12" w:space="0" w:color="auto"/>
              <w:bottom w:val="single" w:sz="12" w:space="0" w:color="auto"/>
              <w:right w:val="single" w:sz="12" w:space="0" w:color="auto"/>
            </w:tcBorders>
          </w:tcPr>
          <w:p w:rsidR="00FA6DE5" w:rsidRPr="00635D03" w:rsidRDefault="00FA6DE5" w:rsidP="003D04DC">
            <w:pPr>
              <w:bidi/>
              <w:jc w:val="center"/>
              <w:rPr>
                <w:rFonts w:asciiTheme="majorBidi" w:hAnsiTheme="majorBidi" w:cstheme="majorBidi"/>
                <w:b/>
                <w:bCs/>
                <w:sz w:val="16"/>
                <w:szCs w:val="16"/>
              </w:rPr>
            </w:pPr>
            <w:r w:rsidRPr="00635D03">
              <w:rPr>
                <w:rFonts w:asciiTheme="majorBidi" w:hAnsiTheme="majorBidi" w:cstheme="majorBidi"/>
                <w:b/>
                <w:bCs/>
                <w:sz w:val="16"/>
                <w:szCs w:val="16"/>
              </w:rPr>
              <w:lastRenderedPageBreak/>
              <w:t>- 0.28</w:t>
            </w:r>
          </w:p>
          <w:p w:rsidR="00FA6DE5" w:rsidRPr="00635D03" w:rsidRDefault="00FA6DE5" w:rsidP="003D04DC">
            <w:pPr>
              <w:bidi/>
              <w:jc w:val="center"/>
              <w:rPr>
                <w:rFonts w:asciiTheme="majorBidi" w:hAnsiTheme="majorBidi" w:cstheme="majorBidi"/>
                <w:b/>
                <w:bCs/>
                <w:sz w:val="16"/>
                <w:szCs w:val="16"/>
                <w:rtl/>
              </w:rPr>
            </w:pPr>
            <w:r w:rsidRPr="00635D03">
              <w:rPr>
                <w:rFonts w:asciiTheme="majorBidi" w:hAnsiTheme="majorBidi" w:cstheme="majorBidi"/>
                <w:b/>
                <w:bCs/>
                <w:sz w:val="16"/>
                <w:szCs w:val="16"/>
              </w:rPr>
              <w:lastRenderedPageBreak/>
              <w:t>-.0122</w:t>
            </w:r>
          </w:p>
        </w:tc>
        <w:tc>
          <w:tcPr>
            <w:tcW w:w="921" w:type="dxa"/>
            <w:tcBorders>
              <w:top w:val="single" w:sz="12" w:space="0" w:color="auto"/>
              <w:left w:val="single" w:sz="12" w:space="0" w:color="auto"/>
              <w:bottom w:val="single" w:sz="12" w:space="0" w:color="auto"/>
              <w:right w:val="single" w:sz="12" w:space="0" w:color="auto"/>
            </w:tcBorders>
          </w:tcPr>
          <w:p w:rsidR="00FA6DE5" w:rsidRPr="00635D03" w:rsidRDefault="00FA6DE5" w:rsidP="003D04DC">
            <w:pPr>
              <w:bidi/>
              <w:jc w:val="center"/>
              <w:rPr>
                <w:rFonts w:asciiTheme="majorBidi" w:hAnsiTheme="majorBidi" w:cstheme="majorBidi"/>
                <w:b/>
                <w:bCs/>
                <w:sz w:val="16"/>
                <w:szCs w:val="16"/>
              </w:rPr>
            </w:pPr>
            <w:r w:rsidRPr="00635D03">
              <w:rPr>
                <w:rFonts w:asciiTheme="majorBidi" w:hAnsiTheme="majorBidi" w:cstheme="majorBidi"/>
                <w:b/>
                <w:bCs/>
                <w:sz w:val="16"/>
                <w:szCs w:val="16"/>
              </w:rPr>
              <w:lastRenderedPageBreak/>
              <w:t>- 0.19</w:t>
            </w:r>
          </w:p>
          <w:p w:rsidR="00FA6DE5" w:rsidRPr="00635D03" w:rsidRDefault="00FA6DE5" w:rsidP="003D04DC">
            <w:pPr>
              <w:bidi/>
              <w:jc w:val="center"/>
              <w:rPr>
                <w:rFonts w:asciiTheme="majorBidi" w:hAnsiTheme="majorBidi" w:cstheme="majorBidi"/>
                <w:b/>
                <w:bCs/>
                <w:sz w:val="16"/>
                <w:szCs w:val="16"/>
              </w:rPr>
            </w:pPr>
            <w:r w:rsidRPr="00635D03">
              <w:rPr>
                <w:rFonts w:asciiTheme="majorBidi" w:hAnsiTheme="majorBidi" w:cstheme="majorBidi"/>
                <w:b/>
                <w:bCs/>
                <w:sz w:val="16"/>
                <w:szCs w:val="16"/>
              </w:rPr>
              <w:lastRenderedPageBreak/>
              <w:t>-0.22</w:t>
            </w:r>
          </w:p>
          <w:p w:rsidR="00FA6DE5" w:rsidRPr="00635D03" w:rsidRDefault="00FA6DE5" w:rsidP="003D04DC">
            <w:pPr>
              <w:bidi/>
              <w:jc w:val="center"/>
              <w:rPr>
                <w:rFonts w:asciiTheme="majorBidi" w:hAnsiTheme="majorBidi" w:cstheme="majorBidi"/>
                <w:b/>
                <w:bCs/>
                <w:sz w:val="16"/>
                <w:szCs w:val="16"/>
                <w:rtl/>
              </w:rPr>
            </w:pPr>
          </w:p>
        </w:tc>
        <w:tc>
          <w:tcPr>
            <w:tcW w:w="914" w:type="dxa"/>
            <w:tcBorders>
              <w:top w:val="single" w:sz="12" w:space="0" w:color="auto"/>
              <w:left w:val="single" w:sz="12" w:space="0" w:color="auto"/>
              <w:bottom w:val="single" w:sz="12" w:space="0" w:color="auto"/>
              <w:right w:val="single" w:sz="12" w:space="0" w:color="auto"/>
            </w:tcBorders>
          </w:tcPr>
          <w:p w:rsidR="00FA6DE5" w:rsidRPr="00635D03" w:rsidRDefault="00FA6DE5" w:rsidP="003D04DC">
            <w:pPr>
              <w:bidi/>
              <w:jc w:val="right"/>
              <w:rPr>
                <w:rFonts w:asciiTheme="majorBidi" w:hAnsiTheme="majorBidi" w:cstheme="majorBidi"/>
                <w:b/>
                <w:bCs/>
                <w:sz w:val="16"/>
                <w:szCs w:val="16"/>
              </w:rPr>
            </w:pPr>
            <w:r w:rsidRPr="00635D03">
              <w:rPr>
                <w:rFonts w:asciiTheme="majorBidi" w:hAnsiTheme="majorBidi" w:cstheme="majorBidi"/>
                <w:b/>
                <w:bCs/>
                <w:sz w:val="16"/>
                <w:szCs w:val="16"/>
              </w:rPr>
              <w:lastRenderedPageBreak/>
              <w:t>2016-2064</w:t>
            </w:r>
          </w:p>
          <w:p w:rsidR="00FA6DE5" w:rsidRPr="00635D03" w:rsidRDefault="00FA6DE5" w:rsidP="003D04DC">
            <w:pPr>
              <w:bidi/>
              <w:jc w:val="right"/>
              <w:rPr>
                <w:rFonts w:asciiTheme="majorBidi" w:hAnsiTheme="majorBidi" w:cstheme="majorBidi"/>
                <w:b/>
                <w:bCs/>
                <w:sz w:val="16"/>
                <w:szCs w:val="16"/>
                <w:rtl/>
              </w:rPr>
            </w:pPr>
            <w:r w:rsidRPr="00635D03">
              <w:rPr>
                <w:rFonts w:asciiTheme="majorBidi" w:hAnsiTheme="majorBidi" w:cstheme="majorBidi"/>
                <w:b/>
                <w:bCs/>
                <w:sz w:val="16"/>
                <w:szCs w:val="16"/>
              </w:rPr>
              <w:lastRenderedPageBreak/>
              <w:t>2080-2100</w:t>
            </w:r>
          </w:p>
        </w:tc>
      </w:tr>
      <w:tr w:rsidR="00FA6DE5" w:rsidRPr="00635D03" w:rsidTr="003D04DC">
        <w:trPr>
          <w:trHeight w:val="249"/>
          <w:jc w:val="center"/>
        </w:trPr>
        <w:tc>
          <w:tcPr>
            <w:tcW w:w="992" w:type="dxa"/>
            <w:tcBorders>
              <w:top w:val="single" w:sz="12" w:space="0" w:color="auto"/>
              <w:left w:val="single" w:sz="12" w:space="0" w:color="auto"/>
              <w:bottom w:val="single" w:sz="12" w:space="0" w:color="auto"/>
              <w:right w:val="single" w:sz="12" w:space="0" w:color="auto"/>
            </w:tcBorders>
            <w:shd w:val="clear" w:color="auto" w:fill="EEECE1"/>
          </w:tcPr>
          <w:p w:rsidR="00FA6DE5" w:rsidRPr="00635D03" w:rsidRDefault="00FA6DE5" w:rsidP="003D04DC">
            <w:pPr>
              <w:bidi/>
              <w:jc w:val="center"/>
              <w:rPr>
                <w:rFonts w:asciiTheme="majorBidi" w:hAnsiTheme="majorBidi" w:cstheme="majorBidi"/>
                <w:b/>
                <w:bCs/>
                <w:sz w:val="16"/>
                <w:szCs w:val="16"/>
                <w:rtl/>
              </w:rPr>
            </w:pPr>
          </w:p>
        </w:tc>
        <w:tc>
          <w:tcPr>
            <w:tcW w:w="5387" w:type="dxa"/>
            <w:gridSpan w:val="6"/>
            <w:tcBorders>
              <w:top w:val="single" w:sz="12" w:space="0" w:color="auto"/>
              <w:left w:val="single" w:sz="12" w:space="0" w:color="auto"/>
              <w:bottom w:val="single" w:sz="12" w:space="0" w:color="auto"/>
              <w:right w:val="single" w:sz="12" w:space="0" w:color="auto"/>
            </w:tcBorders>
            <w:shd w:val="clear" w:color="auto" w:fill="EEECE1"/>
          </w:tcPr>
          <w:p w:rsidR="00FA6DE5" w:rsidRPr="00635D03" w:rsidRDefault="00FA6DE5" w:rsidP="003D04DC">
            <w:pPr>
              <w:bidi/>
              <w:jc w:val="right"/>
              <w:rPr>
                <w:rFonts w:asciiTheme="majorBidi" w:hAnsiTheme="majorBidi" w:cstheme="majorBidi"/>
                <w:b/>
                <w:bCs/>
                <w:sz w:val="16"/>
                <w:szCs w:val="16"/>
              </w:rPr>
            </w:pPr>
            <w:r w:rsidRPr="00635D03">
              <w:rPr>
                <w:rFonts w:asciiTheme="majorBidi" w:hAnsiTheme="majorBidi" w:cstheme="majorBidi"/>
                <w:b/>
                <w:bCs/>
                <w:sz w:val="16"/>
                <w:szCs w:val="16"/>
              </w:rPr>
              <w:t xml:space="preserve"> AIB</w:t>
            </w:r>
          </w:p>
          <w:p w:rsidR="00FA6DE5" w:rsidRPr="00635D03" w:rsidRDefault="00FA6DE5" w:rsidP="003D04DC">
            <w:pPr>
              <w:bidi/>
              <w:jc w:val="right"/>
              <w:rPr>
                <w:rFonts w:asciiTheme="majorBidi" w:hAnsiTheme="majorBidi" w:cstheme="majorBidi"/>
                <w:b/>
                <w:bCs/>
                <w:sz w:val="16"/>
                <w:szCs w:val="16"/>
                <w:rtl/>
              </w:rPr>
            </w:pPr>
          </w:p>
        </w:tc>
      </w:tr>
      <w:tr w:rsidR="00FA6DE5" w:rsidRPr="00635D03" w:rsidTr="003D04DC">
        <w:trPr>
          <w:jc w:val="center"/>
        </w:trPr>
        <w:tc>
          <w:tcPr>
            <w:tcW w:w="992" w:type="dxa"/>
            <w:tcBorders>
              <w:top w:val="single" w:sz="18" w:space="0" w:color="auto"/>
              <w:left w:val="single" w:sz="12" w:space="0" w:color="auto"/>
              <w:bottom w:val="single" w:sz="12" w:space="0" w:color="auto"/>
              <w:right w:val="single" w:sz="12" w:space="0" w:color="auto"/>
            </w:tcBorders>
          </w:tcPr>
          <w:p w:rsidR="00FA6DE5" w:rsidRPr="00635D03" w:rsidRDefault="00FA6DE5" w:rsidP="003D04DC">
            <w:pPr>
              <w:bidi/>
              <w:jc w:val="center"/>
              <w:rPr>
                <w:rFonts w:asciiTheme="majorBidi" w:hAnsiTheme="majorBidi" w:cstheme="majorBidi"/>
                <w:b/>
                <w:bCs/>
                <w:sz w:val="16"/>
                <w:szCs w:val="16"/>
              </w:rPr>
            </w:pPr>
            <w:r w:rsidRPr="00635D03">
              <w:rPr>
                <w:rFonts w:asciiTheme="majorBidi" w:hAnsiTheme="majorBidi" w:cstheme="majorBidi"/>
                <w:b/>
                <w:bCs/>
                <w:sz w:val="16"/>
                <w:szCs w:val="16"/>
              </w:rPr>
              <w:t>0</w:t>
            </w:r>
          </w:p>
          <w:p w:rsidR="00FA6DE5" w:rsidRPr="00635D03" w:rsidRDefault="00FA6DE5" w:rsidP="003D04DC">
            <w:pPr>
              <w:bidi/>
              <w:jc w:val="center"/>
              <w:rPr>
                <w:rFonts w:asciiTheme="majorBidi" w:hAnsiTheme="majorBidi" w:cstheme="majorBidi"/>
                <w:b/>
                <w:bCs/>
                <w:sz w:val="16"/>
                <w:szCs w:val="16"/>
                <w:rtl/>
              </w:rPr>
            </w:pPr>
            <w:r w:rsidRPr="00635D03">
              <w:rPr>
                <w:rFonts w:asciiTheme="majorBidi" w:hAnsiTheme="majorBidi" w:cstheme="majorBidi"/>
                <w:b/>
                <w:bCs/>
                <w:sz w:val="16"/>
                <w:szCs w:val="16"/>
              </w:rPr>
              <w:t>0.13</w:t>
            </w:r>
          </w:p>
        </w:tc>
        <w:tc>
          <w:tcPr>
            <w:tcW w:w="945" w:type="dxa"/>
            <w:tcBorders>
              <w:top w:val="single" w:sz="18" w:space="0" w:color="auto"/>
              <w:left w:val="single" w:sz="12" w:space="0" w:color="auto"/>
              <w:bottom w:val="single" w:sz="12" w:space="0" w:color="auto"/>
              <w:right w:val="single" w:sz="12" w:space="0" w:color="auto"/>
            </w:tcBorders>
          </w:tcPr>
          <w:p w:rsidR="00FA6DE5" w:rsidRPr="00635D03" w:rsidRDefault="00FA6DE5" w:rsidP="003D04DC">
            <w:pPr>
              <w:bidi/>
              <w:jc w:val="center"/>
              <w:rPr>
                <w:rFonts w:asciiTheme="majorBidi" w:hAnsiTheme="majorBidi" w:cstheme="majorBidi"/>
                <w:b/>
                <w:bCs/>
                <w:sz w:val="16"/>
                <w:szCs w:val="16"/>
              </w:rPr>
            </w:pPr>
            <w:r w:rsidRPr="00635D03">
              <w:rPr>
                <w:rFonts w:asciiTheme="majorBidi" w:hAnsiTheme="majorBidi" w:cstheme="majorBidi"/>
                <w:b/>
                <w:bCs/>
                <w:sz w:val="16"/>
                <w:szCs w:val="16"/>
              </w:rPr>
              <w:t>- 0.11</w:t>
            </w:r>
          </w:p>
          <w:p w:rsidR="00FA6DE5" w:rsidRPr="00635D03" w:rsidRDefault="00FA6DE5" w:rsidP="003D04DC">
            <w:pPr>
              <w:bidi/>
              <w:jc w:val="center"/>
              <w:rPr>
                <w:rFonts w:asciiTheme="majorBidi" w:hAnsiTheme="majorBidi" w:cstheme="majorBidi"/>
                <w:b/>
                <w:bCs/>
                <w:sz w:val="16"/>
                <w:szCs w:val="16"/>
                <w:rtl/>
              </w:rPr>
            </w:pPr>
            <w:r w:rsidRPr="00635D03">
              <w:rPr>
                <w:rFonts w:asciiTheme="majorBidi" w:hAnsiTheme="majorBidi" w:cstheme="majorBidi"/>
                <w:b/>
                <w:bCs/>
                <w:sz w:val="16"/>
                <w:szCs w:val="16"/>
              </w:rPr>
              <w:t>- 0.22</w:t>
            </w:r>
          </w:p>
        </w:tc>
        <w:tc>
          <w:tcPr>
            <w:tcW w:w="905" w:type="dxa"/>
            <w:tcBorders>
              <w:top w:val="single" w:sz="18" w:space="0" w:color="auto"/>
              <w:left w:val="single" w:sz="12" w:space="0" w:color="auto"/>
              <w:bottom w:val="single" w:sz="12" w:space="0" w:color="auto"/>
              <w:right w:val="single" w:sz="4" w:space="0" w:color="auto"/>
            </w:tcBorders>
          </w:tcPr>
          <w:p w:rsidR="00FA6DE5" w:rsidRPr="00635D03" w:rsidRDefault="00FA6DE5" w:rsidP="003D04DC">
            <w:pPr>
              <w:bidi/>
              <w:jc w:val="center"/>
              <w:rPr>
                <w:rFonts w:asciiTheme="majorBidi" w:hAnsiTheme="majorBidi" w:cstheme="majorBidi"/>
                <w:b/>
                <w:bCs/>
                <w:sz w:val="16"/>
                <w:szCs w:val="16"/>
              </w:rPr>
            </w:pPr>
            <w:r w:rsidRPr="00635D03">
              <w:rPr>
                <w:rFonts w:asciiTheme="majorBidi" w:hAnsiTheme="majorBidi" w:cstheme="majorBidi"/>
                <w:b/>
                <w:bCs/>
                <w:sz w:val="16"/>
                <w:szCs w:val="16"/>
              </w:rPr>
              <w:t>- 0.15</w:t>
            </w:r>
          </w:p>
          <w:p w:rsidR="00FA6DE5" w:rsidRPr="00635D03" w:rsidRDefault="00FA6DE5" w:rsidP="003D04DC">
            <w:pPr>
              <w:bidi/>
              <w:jc w:val="center"/>
              <w:rPr>
                <w:rFonts w:asciiTheme="majorBidi" w:hAnsiTheme="majorBidi" w:cstheme="majorBidi"/>
                <w:b/>
                <w:bCs/>
                <w:sz w:val="16"/>
                <w:szCs w:val="16"/>
                <w:rtl/>
              </w:rPr>
            </w:pPr>
            <w:r w:rsidRPr="00635D03">
              <w:rPr>
                <w:rFonts w:asciiTheme="majorBidi" w:hAnsiTheme="majorBidi" w:cstheme="majorBidi"/>
                <w:b/>
                <w:bCs/>
                <w:sz w:val="16"/>
                <w:szCs w:val="16"/>
              </w:rPr>
              <w:t>- 0.23</w:t>
            </w:r>
          </w:p>
        </w:tc>
        <w:tc>
          <w:tcPr>
            <w:tcW w:w="935" w:type="dxa"/>
            <w:tcBorders>
              <w:top w:val="single" w:sz="18" w:space="0" w:color="auto"/>
              <w:left w:val="single" w:sz="4" w:space="0" w:color="auto"/>
              <w:bottom w:val="single" w:sz="4" w:space="0" w:color="auto"/>
              <w:right w:val="single" w:sz="4" w:space="0" w:color="auto"/>
            </w:tcBorders>
          </w:tcPr>
          <w:p w:rsidR="00FA6DE5" w:rsidRPr="00635D03" w:rsidRDefault="00FA6DE5" w:rsidP="003D04DC">
            <w:pPr>
              <w:bidi/>
              <w:jc w:val="center"/>
              <w:rPr>
                <w:rFonts w:asciiTheme="majorBidi" w:hAnsiTheme="majorBidi" w:cstheme="majorBidi"/>
                <w:b/>
                <w:bCs/>
                <w:sz w:val="16"/>
                <w:szCs w:val="16"/>
              </w:rPr>
            </w:pPr>
            <w:r w:rsidRPr="00635D03">
              <w:rPr>
                <w:rFonts w:asciiTheme="majorBidi" w:hAnsiTheme="majorBidi" w:cstheme="majorBidi"/>
                <w:b/>
                <w:bCs/>
                <w:sz w:val="16"/>
                <w:szCs w:val="16"/>
              </w:rPr>
              <w:t>-0.17</w:t>
            </w:r>
          </w:p>
          <w:p w:rsidR="00FA6DE5" w:rsidRPr="00635D03" w:rsidRDefault="00FA6DE5" w:rsidP="003D04DC">
            <w:pPr>
              <w:bidi/>
              <w:jc w:val="center"/>
              <w:rPr>
                <w:rFonts w:asciiTheme="majorBidi" w:hAnsiTheme="majorBidi" w:cstheme="majorBidi"/>
                <w:b/>
                <w:bCs/>
                <w:sz w:val="16"/>
                <w:szCs w:val="16"/>
                <w:rtl/>
              </w:rPr>
            </w:pPr>
            <w:r w:rsidRPr="00635D03">
              <w:rPr>
                <w:rFonts w:asciiTheme="majorBidi" w:hAnsiTheme="majorBidi" w:cstheme="majorBidi"/>
                <w:b/>
                <w:bCs/>
                <w:sz w:val="16"/>
                <w:szCs w:val="16"/>
              </w:rPr>
              <w:t>- 0.25</w:t>
            </w:r>
          </w:p>
        </w:tc>
        <w:tc>
          <w:tcPr>
            <w:tcW w:w="767" w:type="dxa"/>
            <w:tcBorders>
              <w:top w:val="single" w:sz="18" w:space="0" w:color="auto"/>
              <w:left w:val="single" w:sz="4" w:space="0" w:color="auto"/>
              <w:bottom w:val="single" w:sz="12" w:space="0" w:color="auto"/>
              <w:right w:val="single" w:sz="12" w:space="0" w:color="auto"/>
            </w:tcBorders>
          </w:tcPr>
          <w:p w:rsidR="00FA6DE5" w:rsidRPr="00635D03" w:rsidRDefault="00FA6DE5" w:rsidP="003D04DC">
            <w:pPr>
              <w:bidi/>
              <w:jc w:val="center"/>
              <w:rPr>
                <w:rFonts w:asciiTheme="majorBidi" w:hAnsiTheme="majorBidi" w:cstheme="majorBidi"/>
                <w:b/>
                <w:bCs/>
                <w:sz w:val="16"/>
                <w:szCs w:val="16"/>
              </w:rPr>
            </w:pPr>
            <w:r w:rsidRPr="00635D03">
              <w:rPr>
                <w:rFonts w:asciiTheme="majorBidi" w:hAnsiTheme="majorBidi" w:cstheme="majorBidi"/>
                <w:b/>
                <w:bCs/>
                <w:sz w:val="16"/>
                <w:szCs w:val="16"/>
              </w:rPr>
              <w:t>-.0.10</w:t>
            </w:r>
          </w:p>
          <w:p w:rsidR="00FA6DE5" w:rsidRPr="00635D03" w:rsidRDefault="00FA6DE5" w:rsidP="003D04DC">
            <w:pPr>
              <w:bidi/>
              <w:jc w:val="center"/>
              <w:rPr>
                <w:rFonts w:asciiTheme="majorBidi" w:hAnsiTheme="majorBidi" w:cstheme="majorBidi"/>
                <w:b/>
                <w:bCs/>
                <w:sz w:val="16"/>
                <w:szCs w:val="16"/>
                <w:rtl/>
              </w:rPr>
            </w:pPr>
            <w:r w:rsidRPr="00635D03">
              <w:rPr>
                <w:rFonts w:asciiTheme="majorBidi" w:hAnsiTheme="majorBidi" w:cstheme="majorBidi"/>
                <w:b/>
                <w:bCs/>
                <w:sz w:val="16"/>
                <w:szCs w:val="16"/>
              </w:rPr>
              <w:t>- 0.18</w:t>
            </w:r>
          </w:p>
        </w:tc>
        <w:tc>
          <w:tcPr>
            <w:tcW w:w="921" w:type="dxa"/>
            <w:tcBorders>
              <w:top w:val="single" w:sz="18" w:space="0" w:color="auto"/>
              <w:left w:val="single" w:sz="12" w:space="0" w:color="auto"/>
              <w:bottom w:val="single" w:sz="12" w:space="0" w:color="auto"/>
              <w:right w:val="single" w:sz="12" w:space="0" w:color="auto"/>
            </w:tcBorders>
          </w:tcPr>
          <w:p w:rsidR="00FA6DE5" w:rsidRPr="00635D03" w:rsidRDefault="00FA6DE5" w:rsidP="003D04DC">
            <w:pPr>
              <w:bidi/>
              <w:jc w:val="center"/>
              <w:rPr>
                <w:rFonts w:asciiTheme="majorBidi" w:hAnsiTheme="majorBidi" w:cstheme="majorBidi"/>
                <w:b/>
                <w:bCs/>
                <w:sz w:val="16"/>
                <w:szCs w:val="16"/>
              </w:rPr>
            </w:pPr>
            <w:r w:rsidRPr="00635D03">
              <w:rPr>
                <w:rFonts w:asciiTheme="majorBidi" w:hAnsiTheme="majorBidi" w:cstheme="majorBidi"/>
                <w:b/>
                <w:bCs/>
                <w:sz w:val="16"/>
                <w:szCs w:val="16"/>
              </w:rPr>
              <w:t>-.03</w:t>
            </w:r>
          </w:p>
          <w:p w:rsidR="00FA6DE5" w:rsidRPr="00635D03" w:rsidRDefault="00FA6DE5" w:rsidP="003D04DC">
            <w:pPr>
              <w:bidi/>
              <w:jc w:val="center"/>
              <w:rPr>
                <w:rFonts w:asciiTheme="majorBidi" w:hAnsiTheme="majorBidi" w:cstheme="majorBidi"/>
                <w:b/>
                <w:bCs/>
                <w:sz w:val="16"/>
                <w:szCs w:val="16"/>
              </w:rPr>
            </w:pPr>
            <w:r w:rsidRPr="00635D03">
              <w:rPr>
                <w:rFonts w:asciiTheme="majorBidi" w:hAnsiTheme="majorBidi" w:cstheme="majorBidi"/>
                <w:b/>
                <w:bCs/>
                <w:sz w:val="16"/>
                <w:szCs w:val="16"/>
              </w:rPr>
              <w:t>- 0.09</w:t>
            </w:r>
          </w:p>
          <w:p w:rsidR="00FA6DE5" w:rsidRPr="00635D03" w:rsidRDefault="00FA6DE5" w:rsidP="003D04DC">
            <w:pPr>
              <w:bidi/>
              <w:jc w:val="center"/>
              <w:rPr>
                <w:rFonts w:asciiTheme="majorBidi" w:hAnsiTheme="majorBidi" w:cstheme="majorBidi"/>
                <w:b/>
                <w:bCs/>
                <w:sz w:val="16"/>
                <w:szCs w:val="16"/>
                <w:rtl/>
              </w:rPr>
            </w:pPr>
          </w:p>
        </w:tc>
        <w:tc>
          <w:tcPr>
            <w:tcW w:w="914" w:type="dxa"/>
            <w:tcBorders>
              <w:top w:val="single" w:sz="18" w:space="0" w:color="auto"/>
              <w:left w:val="single" w:sz="12" w:space="0" w:color="auto"/>
              <w:bottom w:val="single" w:sz="12" w:space="0" w:color="auto"/>
              <w:right w:val="single" w:sz="12" w:space="0" w:color="auto"/>
            </w:tcBorders>
          </w:tcPr>
          <w:p w:rsidR="00FA6DE5" w:rsidRPr="00635D03" w:rsidRDefault="00FA6DE5" w:rsidP="003D04DC">
            <w:pPr>
              <w:bidi/>
              <w:jc w:val="right"/>
              <w:rPr>
                <w:rFonts w:asciiTheme="majorBidi" w:hAnsiTheme="majorBidi" w:cstheme="majorBidi"/>
                <w:b/>
                <w:bCs/>
                <w:sz w:val="16"/>
                <w:szCs w:val="16"/>
              </w:rPr>
            </w:pPr>
            <w:r w:rsidRPr="00635D03">
              <w:rPr>
                <w:rFonts w:asciiTheme="majorBidi" w:hAnsiTheme="majorBidi" w:cstheme="majorBidi"/>
                <w:b/>
                <w:bCs/>
                <w:sz w:val="16"/>
                <w:szCs w:val="16"/>
              </w:rPr>
              <w:t>2046-2064</w:t>
            </w:r>
          </w:p>
          <w:p w:rsidR="00FA6DE5" w:rsidRPr="00635D03" w:rsidRDefault="00FA6DE5" w:rsidP="003D04DC">
            <w:pPr>
              <w:bidi/>
              <w:jc w:val="right"/>
              <w:rPr>
                <w:rFonts w:asciiTheme="majorBidi" w:hAnsiTheme="majorBidi" w:cstheme="majorBidi"/>
                <w:b/>
                <w:bCs/>
                <w:sz w:val="16"/>
                <w:szCs w:val="16"/>
                <w:rtl/>
              </w:rPr>
            </w:pPr>
            <w:r w:rsidRPr="00635D03">
              <w:rPr>
                <w:rFonts w:asciiTheme="majorBidi" w:hAnsiTheme="majorBidi" w:cstheme="majorBidi"/>
                <w:b/>
                <w:bCs/>
                <w:sz w:val="16"/>
                <w:szCs w:val="16"/>
              </w:rPr>
              <w:t>2080-2100</w:t>
            </w:r>
          </w:p>
        </w:tc>
      </w:tr>
      <w:tr w:rsidR="00FA6DE5" w:rsidRPr="00635D03" w:rsidTr="003D04DC">
        <w:trPr>
          <w:trHeight w:val="249"/>
          <w:jc w:val="center"/>
        </w:trPr>
        <w:tc>
          <w:tcPr>
            <w:tcW w:w="5465" w:type="dxa"/>
            <w:gridSpan w:val="6"/>
            <w:tcBorders>
              <w:top w:val="single" w:sz="12" w:space="0" w:color="auto"/>
              <w:left w:val="single" w:sz="12" w:space="0" w:color="auto"/>
              <w:bottom w:val="single" w:sz="12" w:space="0" w:color="auto"/>
              <w:right w:val="single" w:sz="12" w:space="0" w:color="auto"/>
            </w:tcBorders>
            <w:shd w:val="clear" w:color="auto" w:fill="EEECE1"/>
          </w:tcPr>
          <w:p w:rsidR="00FA6DE5" w:rsidRPr="00635D03" w:rsidRDefault="00FA6DE5" w:rsidP="003D04DC">
            <w:pPr>
              <w:bidi/>
              <w:jc w:val="right"/>
              <w:rPr>
                <w:rFonts w:asciiTheme="majorBidi" w:hAnsiTheme="majorBidi" w:cstheme="majorBidi"/>
                <w:b/>
                <w:bCs/>
                <w:sz w:val="16"/>
                <w:szCs w:val="16"/>
              </w:rPr>
            </w:pPr>
          </w:p>
          <w:p w:rsidR="00FA6DE5" w:rsidRPr="00635D03" w:rsidRDefault="00FA6DE5" w:rsidP="003D04DC">
            <w:pPr>
              <w:bidi/>
              <w:jc w:val="right"/>
              <w:rPr>
                <w:rFonts w:asciiTheme="majorBidi" w:hAnsiTheme="majorBidi" w:cstheme="majorBidi"/>
                <w:b/>
                <w:bCs/>
                <w:sz w:val="16"/>
                <w:szCs w:val="16"/>
                <w:rtl/>
              </w:rPr>
            </w:pPr>
          </w:p>
        </w:tc>
        <w:tc>
          <w:tcPr>
            <w:tcW w:w="914" w:type="dxa"/>
            <w:tcBorders>
              <w:top w:val="single" w:sz="12" w:space="0" w:color="auto"/>
              <w:left w:val="single" w:sz="12" w:space="0" w:color="auto"/>
              <w:bottom w:val="single" w:sz="12" w:space="0" w:color="auto"/>
              <w:right w:val="single" w:sz="12" w:space="0" w:color="auto"/>
            </w:tcBorders>
            <w:shd w:val="clear" w:color="auto" w:fill="EEECE1"/>
          </w:tcPr>
          <w:p w:rsidR="00FA6DE5" w:rsidRPr="00635D03" w:rsidRDefault="00FA6DE5" w:rsidP="003D04DC">
            <w:pPr>
              <w:bidi/>
              <w:jc w:val="right"/>
              <w:rPr>
                <w:rFonts w:asciiTheme="majorBidi" w:hAnsiTheme="majorBidi" w:cstheme="majorBidi"/>
                <w:b/>
                <w:bCs/>
                <w:sz w:val="16"/>
                <w:szCs w:val="16"/>
                <w:rtl/>
              </w:rPr>
            </w:pPr>
            <w:r w:rsidRPr="00635D03">
              <w:rPr>
                <w:rFonts w:asciiTheme="majorBidi" w:hAnsiTheme="majorBidi" w:cstheme="majorBidi"/>
                <w:b/>
                <w:bCs/>
                <w:sz w:val="16"/>
                <w:szCs w:val="16"/>
              </w:rPr>
              <w:t>B1</w:t>
            </w:r>
          </w:p>
        </w:tc>
      </w:tr>
      <w:tr w:rsidR="00FA6DE5" w:rsidRPr="00635D03" w:rsidTr="003D04DC">
        <w:trPr>
          <w:jc w:val="center"/>
        </w:trPr>
        <w:tc>
          <w:tcPr>
            <w:tcW w:w="992" w:type="dxa"/>
            <w:tcBorders>
              <w:top w:val="single" w:sz="12" w:space="0" w:color="auto"/>
              <w:left w:val="single" w:sz="12" w:space="0" w:color="auto"/>
              <w:bottom w:val="single" w:sz="12" w:space="0" w:color="auto"/>
              <w:right w:val="single" w:sz="12" w:space="0" w:color="auto"/>
            </w:tcBorders>
          </w:tcPr>
          <w:p w:rsidR="00FA6DE5" w:rsidRPr="00635D03" w:rsidRDefault="00FA6DE5" w:rsidP="003D04DC">
            <w:pPr>
              <w:bidi/>
              <w:jc w:val="center"/>
              <w:rPr>
                <w:rFonts w:asciiTheme="majorBidi" w:hAnsiTheme="majorBidi" w:cstheme="majorBidi"/>
                <w:b/>
                <w:bCs/>
                <w:sz w:val="16"/>
                <w:szCs w:val="16"/>
              </w:rPr>
            </w:pPr>
            <w:r w:rsidRPr="00635D03">
              <w:rPr>
                <w:rFonts w:asciiTheme="majorBidi" w:hAnsiTheme="majorBidi" w:cstheme="majorBidi"/>
                <w:b/>
                <w:bCs/>
                <w:sz w:val="16"/>
                <w:szCs w:val="16"/>
              </w:rPr>
              <w:t>0.09</w:t>
            </w:r>
          </w:p>
          <w:p w:rsidR="00FA6DE5" w:rsidRPr="00635D03" w:rsidRDefault="00FA6DE5" w:rsidP="003D04DC">
            <w:pPr>
              <w:bidi/>
              <w:jc w:val="center"/>
              <w:rPr>
                <w:rFonts w:asciiTheme="majorBidi" w:hAnsiTheme="majorBidi" w:cstheme="majorBidi"/>
                <w:b/>
                <w:bCs/>
                <w:sz w:val="16"/>
                <w:szCs w:val="16"/>
                <w:rtl/>
              </w:rPr>
            </w:pPr>
            <w:r w:rsidRPr="00635D03">
              <w:rPr>
                <w:rFonts w:asciiTheme="majorBidi" w:hAnsiTheme="majorBidi" w:cstheme="majorBidi"/>
                <w:b/>
                <w:bCs/>
                <w:sz w:val="16"/>
                <w:szCs w:val="16"/>
              </w:rPr>
              <w:t>0.04</w:t>
            </w:r>
          </w:p>
        </w:tc>
        <w:tc>
          <w:tcPr>
            <w:tcW w:w="945" w:type="dxa"/>
            <w:tcBorders>
              <w:top w:val="single" w:sz="12" w:space="0" w:color="auto"/>
              <w:left w:val="single" w:sz="12" w:space="0" w:color="auto"/>
              <w:bottom w:val="single" w:sz="12" w:space="0" w:color="auto"/>
              <w:right w:val="single" w:sz="12" w:space="0" w:color="auto"/>
            </w:tcBorders>
          </w:tcPr>
          <w:p w:rsidR="00FA6DE5" w:rsidRPr="00635D03" w:rsidRDefault="00FA6DE5" w:rsidP="003D04DC">
            <w:pPr>
              <w:bidi/>
              <w:jc w:val="center"/>
              <w:rPr>
                <w:rFonts w:asciiTheme="majorBidi" w:hAnsiTheme="majorBidi" w:cstheme="majorBidi"/>
                <w:b/>
                <w:bCs/>
                <w:sz w:val="16"/>
                <w:szCs w:val="16"/>
              </w:rPr>
            </w:pPr>
            <w:r w:rsidRPr="00635D03">
              <w:rPr>
                <w:rFonts w:asciiTheme="majorBidi" w:hAnsiTheme="majorBidi" w:cstheme="majorBidi"/>
                <w:b/>
                <w:bCs/>
                <w:sz w:val="16"/>
                <w:szCs w:val="16"/>
              </w:rPr>
              <w:t>-.0.10</w:t>
            </w:r>
          </w:p>
          <w:p w:rsidR="00FA6DE5" w:rsidRPr="00635D03" w:rsidRDefault="00FA6DE5" w:rsidP="003D04DC">
            <w:pPr>
              <w:bidi/>
              <w:jc w:val="center"/>
              <w:rPr>
                <w:rFonts w:asciiTheme="majorBidi" w:hAnsiTheme="majorBidi" w:cstheme="majorBidi"/>
                <w:b/>
                <w:bCs/>
                <w:sz w:val="16"/>
                <w:szCs w:val="16"/>
                <w:rtl/>
              </w:rPr>
            </w:pPr>
            <w:r w:rsidRPr="00635D03">
              <w:rPr>
                <w:rFonts w:asciiTheme="majorBidi" w:hAnsiTheme="majorBidi" w:cstheme="majorBidi"/>
                <w:b/>
                <w:bCs/>
                <w:sz w:val="16"/>
                <w:szCs w:val="16"/>
              </w:rPr>
              <w:t>- 0.07</w:t>
            </w:r>
          </w:p>
        </w:tc>
        <w:tc>
          <w:tcPr>
            <w:tcW w:w="905" w:type="dxa"/>
            <w:tcBorders>
              <w:top w:val="single" w:sz="12" w:space="0" w:color="auto"/>
              <w:left w:val="single" w:sz="12" w:space="0" w:color="auto"/>
              <w:bottom w:val="single" w:sz="12" w:space="0" w:color="auto"/>
              <w:right w:val="single" w:sz="12" w:space="0" w:color="auto"/>
            </w:tcBorders>
          </w:tcPr>
          <w:p w:rsidR="00FA6DE5" w:rsidRPr="00635D03" w:rsidRDefault="00FA6DE5" w:rsidP="003D04DC">
            <w:pPr>
              <w:bidi/>
              <w:jc w:val="center"/>
              <w:rPr>
                <w:rFonts w:asciiTheme="majorBidi" w:hAnsiTheme="majorBidi" w:cstheme="majorBidi"/>
                <w:b/>
                <w:bCs/>
                <w:sz w:val="16"/>
                <w:szCs w:val="16"/>
              </w:rPr>
            </w:pPr>
            <w:r w:rsidRPr="00635D03">
              <w:rPr>
                <w:rFonts w:asciiTheme="majorBidi" w:hAnsiTheme="majorBidi" w:cstheme="majorBidi"/>
                <w:b/>
                <w:bCs/>
                <w:sz w:val="16"/>
                <w:szCs w:val="16"/>
              </w:rPr>
              <w:t>- 0.10</w:t>
            </w:r>
          </w:p>
          <w:p w:rsidR="00FA6DE5" w:rsidRPr="00635D03" w:rsidRDefault="00FA6DE5" w:rsidP="003D04DC">
            <w:pPr>
              <w:bidi/>
              <w:jc w:val="center"/>
              <w:rPr>
                <w:rFonts w:asciiTheme="majorBidi" w:hAnsiTheme="majorBidi" w:cstheme="majorBidi"/>
                <w:b/>
                <w:bCs/>
                <w:sz w:val="16"/>
                <w:szCs w:val="16"/>
                <w:rtl/>
              </w:rPr>
            </w:pPr>
            <w:r w:rsidRPr="00635D03">
              <w:rPr>
                <w:rFonts w:asciiTheme="majorBidi" w:hAnsiTheme="majorBidi" w:cstheme="majorBidi"/>
                <w:b/>
                <w:bCs/>
                <w:sz w:val="16"/>
                <w:szCs w:val="16"/>
              </w:rPr>
              <w:t>- 0.05</w:t>
            </w:r>
          </w:p>
        </w:tc>
        <w:tc>
          <w:tcPr>
            <w:tcW w:w="935" w:type="dxa"/>
            <w:tcBorders>
              <w:top w:val="single" w:sz="12" w:space="0" w:color="auto"/>
              <w:left w:val="single" w:sz="12" w:space="0" w:color="auto"/>
              <w:bottom w:val="single" w:sz="12" w:space="0" w:color="auto"/>
              <w:right w:val="single" w:sz="12" w:space="0" w:color="auto"/>
            </w:tcBorders>
          </w:tcPr>
          <w:p w:rsidR="00FA6DE5" w:rsidRPr="00635D03" w:rsidRDefault="00FA6DE5" w:rsidP="003D04DC">
            <w:pPr>
              <w:bidi/>
              <w:jc w:val="center"/>
              <w:rPr>
                <w:rFonts w:asciiTheme="majorBidi" w:hAnsiTheme="majorBidi" w:cstheme="majorBidi"/>
                <w:b/>
                <w:bCs/>
                <w:sz w:val="16"/>
                <w:szCs w:val="16"/>
              </w:rPr>
            </w:pPr>
            <w:r w:rsidRPr="00635D03">
              <w:rPr>
                <w:rFonts w:asciiTheme="majorBidi" w:hAnsiTheme="majorBidi" w:cstheme="majorBidi"/>
                <w:b/>
                <w:bCs/>
                <w:sz w:val="16"/>
                <w:szCs w:val="16"/>
              </w:rPr>
              <w:t>- 0.14</w:t>
            </w:r>
          </w:p>
          <w:p w:rsidR="00FA6DE5" w:rsidRPr="00635D03" w:rsidRDefault="00FA6DE5" w:rsidP="003D04DC">
            <w:pPr>
              <w:bidi/>
              <w:jc w:val="center"/>
              <w:rPr>
                <w:rFonts w:asciiTheme="majorBidi" w:hAnsiTheme="majorBidi" w:cstheme="majorBidi"/>
                <w:b/>
                <w:bCs/>
                <w:sz w:val="16"/>
                <w:szCs w:val="16"/>
                <w:rtl/>
              </w:rPr>
            </w:pPr>
            <w:r w:rsidRPr="00635D03">
              <w:rPr>
                <w:rFonts w:asciiTheme="majorBidi" w:hAnsiTheme="majorBidi" w:cstheme="majorBidi"/>
                <w:b/>
                <w:bCs/>
                <w:sz w:val="16"/>
                <w:szCs w:val="16"/>
              </w:rPr>
              <w:t>- 0.1 5</w:t>
            </w:r>
          </w:p>
        </w:tc>
        <w:tc>
          <w:tcPr>
            <w:tcW w:w="767" w:type="dxa"/>
            <w:tcBorders>
              <w:top w:val="single" w:sz="12" w:space="0" w:color="auto"/>
              <w:left w:val="single" w:sz="12" w:space="0" w:color="auto"/>
              <w:bottom w:val="single" w:sz="12" w:space="0" w:color="auto"/>
              <w:right w:val="single" w:sz="12" w:space="0" w:color="auto"/>
            </w:tcBorders>
          </w:tcPr>
          <w:p w:rsidR="00FA6DE5" w:rsidRPr="00635D03" w:rsidRDefault="00FA6DE5" w:rsidP="003D04DC">
            <w:pPr>
              <w:bidi/>
              <w:jc w:val="center"/>
              <w:rPr>
                <w:rFonts w:asciiTheme="majorBidi" w:hAnsiTheme="majorBidi" w:cstheme="majorBidi"/>
                <w:b/>
                <w:bCs/>
                <w:sz w:val="16"/>
                <w:szCs w:val="16"/>
              </w:rPr>
            </w:pPr>
            <w:r w:rsidRPr="00635D03">
              <w:rPr>
                <w:rFonts w:asciiTheme="majorBidi" w:hAnsiTheme="majorBidi" w:cstheme="majorBidi"/>
                <w:b/>
                <w:bCs/>
                <w:sz w:val="16"/>
                <w:szCs w:val="16"/>
              </w:rPr>
              <w:t>- 0.04</w:t>
            </w:r>
          </w:p>
          <w:p w:rsidR="00FA6DE5" w:rsidRPr="00635D03" w:rsidRDefault="00FA6DE5" w:rsidP="003D04DC">
            <w:pPr>
              <w:bidi/>
              <w:jc w:val="center"/>
              <w:rPr>
                <w:rFonts w:asciiTheme="majorBidi" w:hAnsiTheme="majorBidi" w:cstheme="majorBidi"/>
                <w:b/>
                <w:bCs/>
                <w:sz w:val="16"/>
                <w:szCs w:val="16"/>
                <w:rtl/>
              </w:rPr>
            </w:pPr>
            <w:r w:rsidRPr="00635D03">
              <w:rPr>
                <w:rFonts w:asciiTheme="majorBidi" w:hAnsiTheme="majorBidi" w:cstheme="majorBidi"/>
                <w:b/>
                <w:bCs/>
                <w:sz w:val="16"/>
                <w:szCs w:val="16"/>
              </w:rPr>
              <w:t>- 0.06</w:t>
            </w:r>
          </w:p>
        </w:tc>
        <w:tc>
          <w:tcPr>
            <w:tcW w:w="921" w:type="dxa"/>
            <w:tcBorders>
              <w:top w:val="single" w:sz="12" w:space="0" w:color="auto"/>
              <w:left w:val="single" w:sz="12" w:space="0" w:color="auto"/>
              <w:bottom w:val="single" w:sz="12" w:space="0" w:color="auto"/>
              <w:right w:val="single" w:sz="12" w:space="0" w:color="auto"/>
            </w:tcBorders>
          </w:tcPr>
          <w:p w:rsidR="00FA6DE5" w:rsidRPr="00635D03" w:rsidRDefault="00FA6DE5" w:rsidP="003D04DC">
            <w:pPr>
              <w:bidi/>
              <w:jc w:val="center"/>
              <w:rPr>
                <w:rFonts w:asciiTheme="majorBidi" w:hAnsiTheme="majorBidi" w:cstheme="majorBidi"/>
                <w:b/>
                <w:bCs/>
                <w:sz w:val="16"/>
                <w:szCs w:val="16"/>
              </w:rPr>
            </w:pPr>
            <w:r w:rsidRPr="00635D03">
              <w:rPr>
                <w:rFonts w:asciiTheme="majorBidi" w:hAnsiTheme="majorBidi" w:cstheme="majorBidi"/>
                <w:b/>
                <w:bCs/>
                <w:sz w:val="16"/>
                <w:szCs w:val="16"/>
              </w:rPr>
              <w:t>0,02</w:t>
            </w:r>
          </w:p>
          <w:p w:rsidR="00FA6DE5" w:rsidRPr="00635D03" w:rsidRDefault="00FA6DE5" w:rsidP="003D04DC">
            <w:pPr>
              <w:bidi/>
              <w:jc w:val="center"/>
              <w:rPr>
                <w:rFonts w:asciiTheme="majorBidi" w:hAnsiTheme="majorBidi" w:cstheme="majorBidi"/>
                <w:b/>
                <w:bCs/>
                <w:sz w:val="16"/>
                <w:szCs w:val="16"/>
              </w:rPr>
            </w:pPr>
            <w:r w:rsidRPr="00635D03">
              <w:rPr>
                <w:rFonts w:asciiTheme="majorBidi" w:hAnsiTheme="majorBidi" w:cstheme="majorBidi"/>
                <w:b/>
                <w:bCs/>
                <w:sz w:val="16"/>
                <w:szCs w:val="16"/>
              </w:rPr>
              <w:t>-0,09</w:t>
            </w:r>
          </w:p>
          <w:p w:rsidR="00FA6DE5" w:rsidRPr="00635D03" w:rsidRDefault="00FA6DE5" w:rsidP="003D04DC">
            <w:pPr>
              <w:bidi/>
              <w:jc w:val="center"/>
              <w:rPr>
                <w:rFonts w:asciiTheme="majorBidi" w:hAnsiTheme="majorBidi" w:cstheme="majorBidi"/>
                <w:b/>
                <w:bCs/>
                <w:sz w:val="16"/>
                <w:szCs w:val="16"/>
                <w:rtl/>
              </w:rPr>
            </w:pPr>
          </w:p>
        </w:tc>
        <w:tc>
          <w:tcPr>
            <w:tcW w:w="914" w:type="dxa"/>
            <w:tcBorders>
              <w:top w:val="single" w:sz="12" w:space="0" w:color="auto"/>
              <w:left w:val="single" w:sz="12" w:space="0" w:color="auto"/>
              <w:bottom w:val="single" w:sz="12" w:space="0" w:color="auto"/>
              <w:right w:val="single" w:sz="12" w:space="0" w:color="auto"/>
            </w:tcBorders>
          </w:tcPr>
          <w:p w:rsidR="00FA6DE5" w:rsidRPr="00635D03" w:rsidRDefault="00FA6DE5" w:rsidP="003D04DC">
            <w:pPr>
              <w:bidi/>
              <w:jc w:val="right"/>
              <w:rPr>
                <w:rFonts w:asciiTheme="majorBidi" w:hAnsiTheme="majorBidi" w:cstheme="majorBidi"/>
                <w:b/>
                <w:bCs/>
                <w:sz w:val="16"/>
                <w:szCs w:val="16"/>
              </w:rPr>
            </w:pPr>
            <w:r w:rsidRPr="00635D03">
              <w:rPr>
                <w:rFonts w:asciiTheme="majorBidi" w:hAnsiTheme="majorBidi" w:cstheme="majorBidi"/>
                <w:b/>
                <w:bCs/>
                <w:sz w:val="16"/>
                <w:szCs w:val="16"/>
              </w:rPr>
              <w:t>2046-2064</w:t>
            </w:r>
          </w:p>
          <w:p w:rsidR="00FA6DE5" w:rsidRPr="00635D03" w:rsidRDefault="00FA6DE5" w:rsidP="003D04DC">
            <w:pPr>
              <w:bidi/>
              <w:jc w:val="right"/>
              <w:rPr>
                <w:rFonts w:asciiTheme="majorBidi" w:hAnsiTheme="majorBidi" w:cstheme="majorBidi"/>
                <w:b/>
                <w:bCs/>
                <w:sz w:val="16"/>
                <w:szCs w:val="16"/>
                <w:rtl/>
              </w:rPr>
            </w:pPr>
            <w:r w:rsidRPr="00635D03">
              <w:rPr>
                <w:rFonts w:asciiTheme="majorBidi" w:hAnsiTheme="majorBidi" w:cstheme="majorBidi"/>
                <w:b/>
                <w:bCs/>
                <w:sz w:val="16"/>
                <w:szCs w:val="16"/>
              </w:rPr>
              <w:t>2080-2100</w:t>
            </w:r>
          </w:p>
        </w:tc>
      </w:tr>
    </w:tbl>
    <w:p w:rsidR="00FA6DE5" w:rsidRPr="005B1A8D" w:rsidRDefault="00FA6DE5" w:rsidP="00FA6DE5">
      <w:pPr>
        <w:spacing w:line="240" w:lineRule="auto"/>
        <w:rPr>
          <w:rFonts w:asciiTheme="majorBidi" w:hAnsiTheme="majorBidi" w:cstheme="majorBidi"/>
          <w:sz w:val="28"/>
          <w:szCs w:val="28"/>
          <w:lang w:eastAsia="en-GB"/>
        </w:rPr>
      </w:pPr>
    </w:p>
    <w:p w:rsidR="00FA6DE5" w:rsidRPr="005B1A8D" w:rsidRDefault="00FA6DE5" w:rsidP="00FA6DE5">
      <w:pPr>
        <w:spacing w:line="240" w:lineRule="auto"/>
        <w:rPr>
          <w:rFonts w:asciiTheme="majorBidi" w:hAnsiTheme="majorBidi" w:cstheme="majorBidi"/>
          <w:b/>
          <w:bCs/>
          <w:sz w:val="28"/>
          <w:szCs w:val="28"/>
          <w:lang w:eastAsia="en-GB"/>
        </w:rPr>
      </w:pPr>
      <w:r w:rsidRPr="005B1A8D">
        <w:rPr>
          <w:rFonts w:asciiTheme="majorBidi" w:hAnsiTheme="majorBidi" w:cstheme="majorBidi"/>
          <w:b/>
          <w:bCs/>
          <w:sz w:val="28"/>
          <w:szCs w:val="28"/>
          <w:lang w:eastAsia="en-GB"/>
        </w:rPr>
        <w:t xml:space="preserve">3. Climate Change affects lesser </w:t>
      </w:r>
      <w:proofErr w:type="spellStart"/>
      <w:r w:rsidRPr="005B1A8D">
        <w:rPr>
          <w:rFonts w:asciiTheme="majorBidi" w:hAnsiTheme="majorBidi" w:cstheme="majorBidi"/>
          <w:b/>
          <w:bCs/>
          <w:sz w:val="28"/>
          <w:szCs w:val="28"/>
          <w:lang w:eastAsia="en-GB"/>
        </w:rPr>
        <w:t>Zab</w:t>
      </w:r>
      <w:proofErr w:type="spellEnd"/>
      <w:r w:rsidRPr="005B1A8D">
        <w:rPr>
          <w:rFonts w:asciiTheme="majorBidi" w:hAnsiTheme="majorBidi" w:cstheme="majorBidi"/>
          <w:b/>
          <w:bCs/>
          <w:sz w:val="28"/>
          <w:szCs w:val="28"/>
          <w:lang w:eastAsia="en-GB"/>
        </w:rPr>
        <w:t xml:space="preserve"> River Basin </w:t>
      </w:r>
    </w:p>
    <w:p w:rsidR="00FA6DE5" w:rsidRPr="005B1A8D" w:rsidRDefault="00FA6DE5" w:rsidP="00FA6DE5">
      <w:pPr>
        <w:spacing w:line="240" w:lineRule="auto"/>
        <w:ind w:firstLine="1304"/>
        <w:rPr>
          <w:rFonts w:asciiTheme="majorBidi" w:hAnsiTheme="majorBidi" w:cstheme="majorBidi"/>
          <w:b/>
          <w:bCs/>
          <w:sz w:val="28"/>
          <w:szCs w:val="28"/>
          <w:lang w:eastAsia="en-GB"/>
        </w:rPr>
      </w:pPr>
      <w:r w:rsidRPr="005B1A8D">
        <w:rPr>
          <w:rFonts w:asciiTheme="majorBidi" w:hAnsiTheme="majorBidi" w:cstheme="majorBidi"/>
          <w:sz w:val="28"/>
          <w:szCs w:val="28"/>
          <w:lang w:eastAsia="en-GB"/>
        </w:rPr>
        <w:t xml:space="preserve">Abbas and others used the Soil and Water Assessment Tool (SWAT) model also to study future Climate Change impacts in the basin of Lesser </w:t>
      </w:r>
      <w:proofErr w:type="spellStart"/>
      <w:r w:rsidRPr="005B1A8D">
        <w:rPr>
          <w:rFonts w:asciiTheme="majorBidi" w:hAnsiTheme="majorBidi" w:cstheme="majorBidi"/>
          <w:sz w:val="28"/>
          <w:szCs w:val="28"/>
          <w:lang w:eastAsia="en-GB"/>
        </w:rPr>
        <w:t>Zab</w:t>
      </w:r>
      <w:proofErr w:type="spellEnd"/>
      <w:r w:rsidRPr="005B1A8D">
        <w:rPr>
          <w:rFonts w:asciiTheme="majorBidi" w:hAnsiTheme="majorBidi" w:cstheme="majorBidi"/>
          <w:sz w:val="28"/>
          <w:szCs w:val="28"/>
          <w:lang w:eastAsia="en-GB"/>
        </w:rPr>
        <w:t xml:space="preserve"> tributary </w:t>
      </w:r>
      <w:r w:rsidRPr="005B1A8D">
        <w:rPr>
          <w:rFonts w:asciiTheme="majorBidi" w:hAnsiTheme="majorBidi" w:cstheme="majorBidi"/>
          <w:sz w:val="28"/>
          <w:szCs w:val="28"/>
        </w:rPr>
        <w:t>[42]</w:t>
      </w:r>
      <w:r w:rsidRPr="005B1A8D">
        <w:rPr>
          <w:rFonts w:asciiTheme="majorBidi" w:hAnsiTheme="majorBidi" w:cstheme="majorBidi"/>
          <w:sz w:val="28"/>
          <w:szCs w:val="28"/>
          <w:lang w:eastAsia="en-GB"/>
        </w:rPr>
        <w:t>. The river basin has an Area of (15,600) km</w:t>
      </w:r>
      <w:r w:rsidRPr="005B1A8D">
        <w:rPr>
          <w:rFonts w:asciiTheme="majorBidi" w:hAnsiTheme="majorBidi" w:cstheme="majorBidi"/>
          <w:sz w:val="28"/>
          <w:szCs w:val="28"/>
          <w:vertAlign w:val="superscript"/>
          <w:lang w:eastAsia="en-GB"/>
        </w:rPr>
        <w:t>2</w:t>
      </w:r>
      <w:r w:rsidRPr="005B1A8D">
        <w:rPr>
          <w:rFonts w:asciiTheme="majorBidi" w:hAnsiTheme="majorBidi" w:cstheme="majorBidi"/>
          <w:sz w:val="28"/>
          <w:szCs w:val="28"/>
          <w:lang w:eastAsia="en-GB"/>
        </w:rPr>
        <w:t xml:space="preserve"> and it is bordered by the Greater </w:t>
      </w:r>
      <w:proofErr w:type="spellStart"/>
      <w:r w:rsidRPr="005B1A8D">
        <w:rPr>
          <w:rFonts w:asciiTheme="majorBidi" w:hAnsiTheme="majorBidi" w:cstheme="majorBidi"/>
          <w:sz w:val="28"/>
          <w:szCs w:val="28"/>
          <w:lang w:eastAsia="en-GB"/>
        </w:rPr>
        <w:t>Zab</w:t>
      </w:r>
      <w:proofErr w:type="spellEnd"/>
      <w:r w:rsidRPr="005B1A8D">
        <w:rPr>
          <w:rFonts w:asciiTheme="majorBidi" w:hAnsiTheme="majorBidi" w:cstheme="majorBidi"/>
          <w:sz w:val="28"/>
          <w:szCs w:val="28"/>
          <w:lang w:eastAsia="en-GB"/>
        </w:rPr>
        <w:t xml:space="preserve"> river basin from the north and adjoins Iran from the east. In the upstream of the basin, the river runs through deep valleys joined by a number of small streams such as the </w:t>
      </w:r>
      <w:proofErr w:type="spellStart"/>
      <w:r w:rsidRPr="005B1A8D">
        <w:rPr>
          <w:rFonts w:asciiTheme="majorBidi" w:hAnsiTheme="majorBidi" w:cstheme="majorBidi"/>
          <w:sz w:val="28"/>
          <w:szCs w:val="28"/>
          <w:lang w:eastAsia="en-GB"/>
        </w:rPr>
        <w:t>Banach</w:t>
      </w:r>
      <w:proofErr w:type="spellEnd"/>
      <w:r w:rsidRPr="005B1A8D">
        <w:rPr>
          <w:rFonts w:asciiTheme="majorBidi" w:hAnsiTheme="majorBidi" w:cstheme="majorBidi"/>
          <w:sz w:val="28"/>
          <w:szCs w:val="28"/>
          <w:lang w:eastAsia="en-GB"/>
        </w:rPr>
        <w:t xml:space="preserve"> and </w:t>
      </w:r>
      <w:proofErr w:type="spellStart"/>
      <w:r w:rsidRPr="005B1A8D">
        <w:rPr>
          <w:rFonts w:asciiTheme="majorBidi" w:hAnsiTheme="majorBidi" w:cstheme="majorBidi"/>
          <w:sz w:val="28"/>
          <w:szCs w:val="28"/>
          <w:lang w:eastAsia="en-GB"/>
        </w:rPr>
        <w:t>Qazlaga</w:t>
      </w:r>
      <w:proofErr w:type="spellEnd"/>
      <w:r w:rsidRPr="005B1A8D">
        <w:rPr>
          <w:rFonts w:asciiTheme="majorBidi" w:hAnsiTheme="majorBidi" w:cstheme="majorBidi"/>
          <w:sz w:val="28"/>
          <w:szCs w:val="28"/>
          <w:lang w:eastAsia="en-GB"/>
        </w:rPr>
        <w:t xml:space="preserve">, and after a length of about 302 km, the river joins the Tigris River at Fatah (south of Mosul). Two dams are built on this tributary; the Dokan storage dam and the </w:t>
      </w:r>
      <w:proofErr w:type="spellStart"/>
      <w:r w:rsidRPr="005B1A8D">
        <w:rPr>
          <w:rFonts w:asciiTheme="majorBidi" w:hAnsiTheme="majorBidi" w:cstheme="majorBidi"/>
          <w:sz w:val="28"/>
          <w:szCs w:val="28"/>
          <w:lang w:eastAsia="en-GB"/>
        </w:rPr>
        <w:t>Dibbis</w:t>
      </w:r>
      <w:proofErr w:type="spellEnd"/>
      <w:r w:rsidRPr="005B1A8D">
        <w:rPr>
          <w:rFonts w:asciiTheme="majorBidi" w:hAnsiTheme="majorBidi" w:cstheme="majorBidi"/>
          <w:sz w:val="28"/>
          <w:szCs w:val="28"/>
          <w:lang w:eastAsia="en-GB"/>
        </w:rPr>
        <w:t xml:space="preserve"> diversion dam (Fig.26) shows a general location map of the basin and a Digital elevation model (DEM) map of the area.</w:t>
      </w:r>
    </w:p>
    <w:p w:rsidR="00FA6DE5" w:rsidRDefault="00FA6DE5" w:rsidP="00FA6DE5">
      <w:pPr>
        <w:spacing w:line="240" w:lineRule="auto"/>
        <w:ind w:firstLine="1304"/>
        <w:rPr>
          <w:rFonts w:asciiTheme="majorBidi" w:hAnsiTheme="majorBidi" w:cstheme="majorBidi"/>
          <w:sz w:val="28"/>
          <w:szCs w:val="28"/>
          <w:lang w:eastAsia="en-GB"/>
        </w:rPr>
      </w:pPr>
      <w:r w:rsidRPr="005B1A8D">
        <w:rPr>
          <w:rFonts w:asciiTheme="majorBidi" w:hAnsiTheme="majorBidi" w:cstheme="majorBidi"/>
          <w:sz w:val="28"/>
          <w:szCs w:val="28"/>
          <w:lang w:eastAsia="en-GB"/>
        </w:rPr>
        <w:t xml:space="preserve">In studying the long-term expected climate change in the Lesser </w:t>
      </w:r>
      <w:proofErr w:type="spellStart"/>
      <w:r w:rsidRPr="005B1A8D">
        <w:rPr>
          <w:rFonts w:asciiTheme="majorBidi" w:hAnsiTheme="majorBidi" w:cstheme="majorBidi"/>
          <w:sz w:val="28"/>
          <w:szCs w:val="28"/>
          <w:lang w:eastAsia="en-GB"/>
        </w:rPr>
        <w:t>Zab</w:t>
      </w:r>
      <w:proofErr w:type="spellEnd"/>
      <w:r w:rsidRPr="005B1A8D">
        <w:rPr>
          <w:rFonts w:asciiTheme="majorBidi" w:hAnsiTheme="majorBidi" w:cstheme="majorBidi"/>
          <w:sz w:val="28"/>
          <w:szCs w:val="28"/>
          <w:lang w:eastAsia="en-GB"/>
        </w:rPr>
        <w:t xml:space="preserve"> basin the same circulation models used for the Greater </w:t>
      </w:r>
      <w:proofErr w:type="spellStart"/>
      <w:r w:rsidRPr="005B1A8D">
        <w:rPr>
          <w:rFonts w:asciiTheme="majorBidi" w:hAnsiTheme="majorBidi" w:cstheme="majorBidi"/>
          <w:sz w:val="28"/>
          <w:szCs w:val="28"/>
          <w:lang w:eastAsia="en-GB"/>
        </w:rPr>
        <w:t>Zab</w:t>
      </w:r>
      <w:proofErr w:type="spellEnd"/>
      <w:r w:rsidRPr="005B1A8D">
        <w:rPr>
          <w:rFonts w:asciiTheme="majorBidi" w:hAnsiTheme="majorBidi" w:cstheme="majorBidi"/>
          <w:sz w:val="28"/>
          <w:szCs w:val="28"/>
          <w:lang w:eastAsia="en-GB"/>
        </w:rPr>
        <w:t xml:space="preserve"> basin were used here under the same emission scenarios (A2, AIB, B1), for two future periods (2046-2064) and (2080-2100) also. The data of the baseline period (1982-2010) which includes temperature and precipitation were used for comparison purposes with the resulting projected data to show the change in water resources within the basin. The model was calibrated by using streamflow records from </w:t>
      </w:r>
      <w:proofErr w:type="spellStart"/>
      <w:r w:rsidRPr="005B1A8D">
        <w:rPr>
          <w:rFonts w:asciiTheme="majorBidi" w:hAnsiTheme="majorBidi" w:cstheme="majorBidi"/>
          <w:sz w:val="28"/>
          <w:szCs w:val="28"/>
          <w:lang w:eastAsia="en-GB"/>
        </w:rPr>
        <w:t>Altunkupri</w:t>
      </w:r>
      <w:proofErr w:type="spellEnd"/>
      <w:r w:rsidRPr="005B1A8D">
        <w:rPr>
          <w:rFonts w:asciiTheme="majorBidi" w:hAnsiTheme="majorBidi" w:cstheme="majorBidi"/>
          <w:sz w:val="28"/>
          <w:szCs w:val="28"/>
          <w:lang w:eastAsia="en-GB"/>
        </w:rPr>
        <w:t xml:space="preserve"> gauging station for the period (1977-1984) and from </w:t>
      </w:r>
      <w:proofErr w:type="spellStart"/>
      <w:r w:rsidRPr="005B1A8D">
        <w:rPr>
          <w:rFonts w:asciiTheme="majorBidi" w:hAnsiTheme="majorBidi" w:cstheme="majorBidi"/>
          <w:sz w:val="28"/>
          <w:szCs w:val="28"/>
          <w:lang w:eastAsia="en-GB"/>
        </w:rPr>
        <w:t>Dukan</w:t>
      </w:r>
      <w:proofErr w:type="spellEnd"/>
      <w:r w:rsidRPr="005B1A8D">
        <w:rPr>
          <w:rFonts w:asciiTheme="majorBidi" w:hAnsiTheme="majorBidi" w:cstheme="majorBidi"/>
          <w:sz w:val="28"/>
          <w:szCs w:val="28"/>
          <w:lang w:eastAsia="en-GB"/>
        </w:rPr>
        <w:t xml:space="preserve"> gauging station for the period (1977-1995). Validation of the model was carried </w:t>
      </w:r>
      <w:r w:rsidRPr="005B1A8D">
        <w:rPr>
          <w:rFonts w:asciiTheme="majorBidi" w:hAnsiTheme="majorBidi" w:cstheme="majorBidi"/>
          <w:sz w:val="28"/>
          <w:szCs w:val="28"/>
          <w:lang w:eastAsia="en-GB"/>
        </w:rPr>
        <w:lastRenderedPageBreak/>
        <w:t xml:space="preserve">out for the records of </w:t>
      </w:r>
      <w:proofErr w:type="spellStart"/>
      <w:r w:rsidRPr="005B1A8D">
        <w:rPr>
          <w:rFonts w:asciiTheme="majorBidi" w:hAnsiTheme="majorBidi" w:cstheme="majorBidi"/>
          <w:sz w:val="28"/>
          <w:szCs w:val="28"/>
          <w:lang w:eastAsia="en-GB"/>
        </w:rPr>
        <w:t>Altunkupri</w:t>
      </w:r>
      <w:proofErr w:type="spellEnd"/>
      <w:r w:rsidRPr="005B1A8D">
        <w:rPr>
          <w:rFonts w:asciiTheme="majorBidi" w:hAnsiTheme="majorBidi" w:cstheme="majorBidi"/>
          <w:sz w:val="28"/>
          <w:szCs w:val="28"/>
          <w:lang w:eastAsia="en-GB"/>
        </w:rPr>
        <w:t xml:space="preserve"> station for the period (1985-1987) and for </w:t>
      </w:r>
      <w:proofErr w:type="spellStart"/>
      <w:r w:rsidRPr="005B1A8D">
        <w:rPr>
          <w:rFonts w:asciiTheme="majorBidi" w:hAnsiTheme="majorBidi" w:cstheme="majorBidi"/>
          <w:sz w:val="28"/>
          <w:szCs w:val="28"/>
          <w:lang w:eastAsia="en-GB"/>
        </w:rPr>
        <w:t>Dukan</w:t>
      </w:r>
      <w:proofErr w:type="spellEnd"/>
      <w:r w:rsidRPr="005B1A8D">
        <w:rPr>
          <w:rFonts w:asciiTheme="majorBidi" w:hAnsiTheme="majorBidi" w:cstheme="majorBidi"/>
          <w:sz w:val="28"/>
          <w:szCs w:val="28"/>
          <w:lang w:eastAsia="en-GB"/>
        </w:rPr>
        <w:t xml:space="preserve"> gauging station for the period (1996-2004).</w:t>
      </w:r>
    </w:p>
    <w:p w:rsidR="00FA6DE5" w:rsidRPr="005B1A8D" w:rsidRDefault="00FA6DE5" w:rsidP="00FA6DE5">
      <w:pPr>
        <w:spacing w:line="240" w:lineRule="auto"/>
        <w:ind w:firstLine="1304"/>
        <w:rPr>
          <w:rFonts w:asciiTheme="majorBidi" w:hAnsiTheme="majorBidi" w:cstheme="majorBidi"/>
          <w:b/>
          <w:bCs/>
          <w:sz w:val="28"/>
          <w:szCs w:val="28"/>
          <w:lang w:eastAsia="en-GB"/>
        </w:rPr>
      </w:pPr>
    </w:p>
    <w:p w:rsidR="00FA6DE5" w:rsidRPr="005B1A8D" w:rsidRDefault="00FA6DE5" w:rsidP="00FA6DE5">
      <w:pPr>
        <w:spacing w:line="240" w:lineRule="auto"/>
        <w:jc w:val="center"/>
        <w:rPr>
          <w:rFonts w:asciiTheme="majorBidi" w:hAnsiTheme="majorBidi" w:cstheme="majorBidi"/>
          <w:sz w:val="28"/>
          <w:szCs w:val="28"/>
          <w:lang w:eastAsia="en-GB"/>
        </w:rPr>
      </w:pPr>
      <w:r w:rsidRPr="005B1A8D">
        <w:rPr>
          <w:rFonts w:asciiTheme="majorBidi" w:hAnsiTheme="majorBidi" w:cstheme="majorBidi"/>
          <w:noProof/>
          <w:sz w:val="28"/>
          <w:szCs w:val="28"/>
          <w:rtl/>
          <w:lang w:eastAsia="en-US"/>
        </w:rPr>
        <w:drawing>
          <wp:inline distT="0" distB="0" distL="0" distR="0" wp14:anchorId="45C6C44A" wp14:editId="7565282A">
            <wp:extent cx="5253616" cy="2981325"/>
            <wp:effectExtent l="38100" t="38100" r="42545" b="28575"/>
            <wp:docPr id="29" name="Picture 1" descr="C:\Users\HP-PC\Downloads\2   Assessment of Climate Change Impact on Water Lesswer Zab Kurdistan,  Iraq Using SWAT model -2-2-p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310729" name="Picture 1" descr="C:\Users\HP-PC\Downloads\2   Assessment of Climate Change Impact on Water Lesswer Zab Kurdistan,  Iraq Using SWAT model -2-2-page-001.jpg"/>
                    <pic:cNvPicPr>
                      <a:picLocks noChangeAspect="1" noChangeArrowheads="1"/>
                    </pic:cNvPicPr>
                  </pic:nvPicPr>
                  <pic:blipFill>
                    <a:blip r:embed="rId32" cstate="print"/>
                    <a:stretch>
                      <a:fillRect/>
                    </a:stretch>
                  </pic:blipFill>
                  <pic:spPr bwMode="auto">
                    <a:xfrm>
                      <a:off x="0" y="0"/>
                      <a:ext cx="5340014" cy="3030354"/>
                    </a:xfrm>
                    <a:prstGeom prst="rect">
                      <a:avLst/>
                    </a:prstGeom>
                    <a:noFill/>
                    <a:ln w="28575">
                      <a:solidFill>
                        <a:schemeClr val="tx1"/>
                      </a:solidFill>
                      <a:miter lim="800000"/>
                      <a:headEnd/>
                      <a:tailEnd/>
                    </a:ln>
                  </pic:spPr>
                </pic:pic>
              </a:graphicData>
            </a:graphic>
          </wp:inline>
        </w:drawing>
      </w:r>
    </w:p>
    <w:p w:rsidR="00FA6DE5" w:rsidRPr="00FA6DE5" w:rsidRDefault="00FA6DE5" w:rsidP="00FA6DE5">
      <w:pPr>
        <w:spacing w:line="240" w:lineRule="auto"/>
        <w:jc w:val="center"/>
        <w:rPr>
          <w:rFonts w:asciiTheme="majorBidi" w:hAnsiTheme="majorBidi" w:cstheme="majorBidi"/>
          <w:sz w:val="28"/>
          <w:szCs w:val="28"/>
          <w:lang w:eastAsia="en-GB"/>
        </w:rPr>
      </w:pPr>
      <w:r w:rsidRPr="00FA6DE5">
        <w:rPr>
          <w:rFonts w:asciiTheme="majorBidi" w:hAnsiTheme="majorBidi" w:cstheme="majorBidi"/>
          <w:sz w:val="28"/>
          <w:szCs w:val="28"/>
          <w:lang w:eastAsia="en-GB"/>
        </w:rPr>
        <w:t xml:space="preserve">Fig. 26: Location and boundaries of Lesser </w:t>
      </w:r>
      <w:proofErr w:type="spellStart"/>
      <w:r w:rsidRPr="00FA6DE5">
        <w:rPr>
          <w:rFonts w:asciiTheme="majorBidi" w:hAnsiTheme="majorBidi" w:cstheme="majorBidi"/>
          <w:sz w:val="28"/>
          <w:szCs w:val="28"/>
          <w:lang w:eastAsia="en-GB"/>
        </w:rPr>
        <w:t>Zab</w:t>
      </w:r>
      <w:proofErr w:type="spellEnd"/>
      <w:r w:rsidRPr="00FA6DE5">
        <w:rPr>
          <w:rFonts w:asciiTheme="majorBidi" w:hAnsiTheme="majorBidi" w:cstheme="majorBidi"/>
          <w:sz w:val="28"/>
          <w:szCs w:val="28"/>
          <w:lang w:eastAsia="en-GB"/>
        </w:rPr>
        <w:t xml:space="preserve"> River basin and a DEM map.</w:t>
      </w:r>
    </w:p>
    <w:p w:rsidR="00FA6DE5" w:rsidRDefault="00FA6DE5" w:rsidP="00FA6DE5">
      <w:pPr>
        <w:spacing w:line="240" w:lineRule="auto"/>
        <w:ind w:firstLine="1304"/>
        <w:rPr>
          <w:rFonts w:asciiTheme="majorBidi" w:hAnsiTheme="majorBidi" w:cstheme="majorBidi"/>
          <w:sz w:val="28"/>
          <w:szCs w:val="28"/>
          <w:lang w:eastAsia="en-GB"/>
        </w:rPr>
      </w:pPr>
    </w:p>
    <w:p w:rsidR="00FA6DE5" w:rsidRPr="005B1A8D" w:rsidRDefault="00FA6DE5" w:rsidP="00FA6DE5">
      <w:pPr>
        <w:spacing w:line="240" w:lineRule="auto"/>
        <w:ind w:firstLine="1304"/>
        <w:rPr>
          <w:rFonts w:asciiTheme="majorBidi" w:hAnsiTheme="majorBidi" w:cstheme="majorBidi"/>
          <w:sz w:val="28"/>
          <w:szCs w:val="28"/>
          <w:lang w:eastAsia="en-GB"/>
        </w:rPr>
      </w:pPr>
      <w:r w:rsidRPr="005B1A8D">
        <w:rPr>
          <w:rFonts w:asciiTheme="majorBidi" w:hAnsiTheme="majorBidi" w:cstheme="majorBidi"/>
          <w:sz w:val="28"/>
          <w:szCs w:val="28"/>
          <w:lang w:eastAsia="en-GB"/>
        </w:rPr>
        <w:t>The modeling procedure was used to project the changes in temperature, precipitation, blue water flows, and Green water flows and storages (defined previously). Projections over the two indicated future periods (2046-2064) and (2080-2100) were obtained and compared to their values of the baseline period (1980-2010). The outputs showed that the mean annual temperature changes to be more consistent than the precipitation outputs. And, that all the models showed the consistent increasing trend in temperature.</w:t>
      </w:r>
    </w:p>
    <w:p w:rsidR="00FA6DE5" w:rsidRPr="005B1A8D" w:rsidRDefault="00FA6DE5" w:rsidP="00FA6DE5">
      <w:pPr>
        <w:spacing w:line="240" w:lineRule="auto"/>
        <w:ind w:firstLine="1304"/>
        <w:rPr>
          <w:rFonts w:asciiTheme="majorBidi" w:hAnsiTheme="majorBidi" w:cstheme="majorBidi"/>
          <w:sz w:val="28"/>
          <w:szCs w:val="28"/>
          <w:lang w:eastAsia="en-GB"/>
        </w:rPr>
      </w:pPr>
      <w:r w:rsidRPr="005B1A8D">
        <w:rPr>
          <w:rFonts w:asciiTheme="majorBidi" w:hAnsiTheme="majorBidi" w:cstheme="majorBidi"/>
          <w:sz w:val="28"/>
          <w:szCs w:val="28"/>
          <w:lang w:eastAsia="en-GB"/>
        </w:rPr>
        <w:t xml:space="preserve">For the projected relative changes in mean annual precipitation from the baseline scenario (1980-2010); All models showed a decrease in mean annual precipitation at half-centennial future (2046-2064) and Centennial future under all emission scenarios, except B1 in which the basin will see varying decreases in precipitation at different rates. A2 emission scenario showed the highest decreases. The reductions in the lower and the west part of the basin would be quite large, as high as 34% and 30% for the half- centennial future and </w:t>
      </w:r>
      <w:r w:rsidRPr="005B1A8D">
        <w:rPr>
          <w:rFonts w:asciiTheme="majorBidi" w:hAnsiTheme="majorBidi" w:cstheme="majorBidi"/>
          <w:sz w:val="28"/>
          <w:szCs w:val="28"/>
          <w:lang w:eastAsia="en-GB"/>
        </w:rPr>
        <w:lastRenderedPageBreak/>
        <w:t xml:space="preserve">Centennial future receptively under extreme A2emission scenario. Under B1 scenario for the near future, 78% of the basin would experience an increase in precipitation as high as 10%, while 22% of the basin located in the lower part would experience a reduction up to 30%. However, for the far future, only 40% of the basin will see an increase up to 20% located in the upper part and the rest of the basin will see a decrease up to 30%.   </w:t>
      </w:r>
    </w:p>
    <w:p w:rsidR="00FA6DE5" w:rsidRPr="005B1A8D" w:rsidRDefault="00FA6DE5" w:rsidP="00FA6DE5">
      <w:pPr>
        <w:spacing w:line="240" w:lineRule="auto"/>
        <w:ind w:firstLine="1304"/>
        <w:rPr>
          <w:rFonts w:asciiTheme="majorBidi" w:hAnsiTheme="majorBidi" w:cstheme="majorBidi"/>
          <w:sz w:val="28"/>
          <w:szCs w:val="28"/>
          <w:lang w:eastAsia="en-GB"/>
        </w:rPr>
      </w:pPr>
      <w:r w:rsidRPr="005B1A8D">
        <w:rPr>
          <w:rFonts w:asciiTheme="majorBidi" w:hAnsiTheme="majorBidi" w:cstheme="majorBidi"/>
          <w:sz w:val="28"/>
          <w:szCs w:val="28"/>
          <w:lang w:eastAsia="en-GB"/>
        </w:rPr>
        <w:t xml:space="preserve">Similarly, it was evident that there would be decreases in blue water and green water storage at half-centennial and centennial projections in the future.  Various Scenarios also gave different projected decreases in blue water.  Under A2 scenario this decrease was ranging from 15% to 43% in 2046 and from 26% to53% in 2080. Decreases in green water under the same scenario varied from 5% to 24% in 2064 and 10% to 31% in 2080. Under the A1B scenario, the decrease of blue water ranged between 8% to 43% in 2046 and 33% to 53% in 2080.                                         The changes in blue water under B1 were between 8% and 23% in 2046 and between 9% and 33% in 2080. The changes in green water were between 2% and 15% in 2046 and between 5% and 16% in 2080.The half-centennial projection (2046-2064) shows a decrease in blue water under all emission scenarios for the whole basin except a small area located in the southeast of the basin which will experience an increase under B1 scenario for the both periods. A2 scenario project the highest reduction (38%) followed by A1B (11%) and then B1 (6%). In the centennial future, the reduction will increase to 41%, 17% and 8% under A2, A1B, and B1, respectively. Similarly, green water flows will decrease under the three emission scenarios for the two future periods except for B1 scenario for 2046 to 2064 period, where most of the basin would experience increases could reach to 5%. </w:t>
      </w:r>
    </w:p>
    <w:p w:rsidR="00FA6DE5" w:rsidRPr="005B1A8D" w:rsidRDefault="00FA6DE5" w:rsidP="00FA6DE5">
      <w:pPr>
        <w:spacing w:line="240" w:lineRule="auto"/>
        <w:rPr>
          <w:rFonts w:asciiTheme="majorBidi" w:hAnsiTheme="majorBidi" w:cstheme="majorBidi"/>
          <w:sz w:val="28"/>
          <w:szCs w:val="28"/>
          <w:lang w:eastAsia="en-GB"/>
        </w:rPr>
      </w:pPr>
      <w:r w:rsidRPr="005B1A8D">
        <w:rPr>
          <w:rFonts w:asciiTheme="majorBidi" w:hAnsiTheme="majorBidi" w:cstheme="majorBidi"/>
          <w:sz w:val="28"/>
          <w:szCs w:val="28"/>
          <w:lang w:eastAsia="en-GB"/>
        </w:rPr>
        <w:t xml:space="preserve">      </w:t>
      </w:r>
      <w:r w:rsidRPr="005B1A8D">
        <w:rPr>
          <w:rFonts w:asciiTheme="majorBidi" w:hAnsiTheme="majorBidi" w:cstheme="majorBidi"/>
          <w:sz w:val="28"/>
          <w:szCs w:val="28"/>
          <w:lang w:eastAsia="en-GB"/>
        </w:rPr>
        <w:tab/>
        <w:t xml:space="preserve">  In summary, the results of this modeling processes employing the SWAT model under the selected emission scenarios, and using the chosen general circulation models (GSMs) showed a marked decrease in both blue water and green flow over the next half century and next century in the Lesser </w:t>
      </w:r>
      <w:proofErr w:type="spellStart"/>
      <w:r w:rsidRPr="005B1A8D">
        <w:rPr>
          <w:rFonts w:asciiTheme="majorBidi" w:hAnsiTheme="majorBidi" w:cstheme="majorBidi"/>
          <w:sz w:val="28"/>
          <w:szCs w:val="28"/>
          <w:lang w:eastAsia="en-GB"/>
        </w:rPr>
        <w:t>Zab</w:t>
      </w:r>
      <w:proofErr w:type="spellEnd"/>
      <w:r w:rsidRPr="005B1A8D">
        <w:rPr>
          <w:rFonts w:asciiTheme="majorBidi" w:hAnsiTheme="majorBidi" w:cstheme="majorBidi"/>
          <w:sz w:val="28"/>
          <w:szCs w:val="28"/>
          <w:lang w:eastAsia="en-GB"/>
        </w:rPr>
        <w:t xml:space="preserve"> River </w:t>
      </w:r>
      <w:proofErr w:type="spellStart"/>
      <w:r w:rsidRPr="005B1A8D">
        <w:rPr>
          <w:rFonts w:asciiTheme="majorBidi" w:hAnsiTheme="majorBidi" w:cstheme="majorBidi"/>
          <w:sz w:val="28"/>
          <w:szCs w:val="28"/>
          <w:lang w:eastAsia="en-GB"/>
        </w:rPr>
        <w:t>Basin.The</w:t>
      </w:r>
      <w:proofErr w:type="spellEnd"/>
      <w:r w:rsidRPr="005B1A8D">
        <w:rPr>
          <w:rFonts w:asciiTheme="majorBidi" w:hAnsiTheme="majorBidi" w:cstheme="majorBidi"/>
          <w:sz w:val="28"/>
          <w:szCs w:val="28"/>
          <w:lang w:eastAsia="en-GB"/>
        </w:rPr>
        <w:t xml:space="preserve"> reductions for both flows are considered as direct consequence of increase in temperatures and they are detailed in table (6) </w:t>
      </w:r>
    </w:p>
    <w:p w:rsidR="00FA6DE5" w:rsidRDefault="00FA6DE5" w:rsidP="00FA6DE5">
      <w:pPr>
        <w:spacing w:line="240" w:lineRule="auto"/>
        <w:jc w:val="center"/>
        <w:rPr>
          <w:rFonts w:asciiTheme="majorBidi" w:hAnsiTheme="majorBidi" w:cstheme="majorBidi"/>
          <w:i/>
          <w:iCs/>
          <w:noProof/>
          <w:lang w:val="en-GB" w:eastAsia="en-GB"/>
        </w:rPr>
      </w:pPr>
    </w:p>
    <w:p w:rsidR="00FA6DE5" w:rsidRPr="00FA6DE5" w:rsidRDefault="00FA6DE5" w:rsidP="00FA6DE5">
      <w:pPr>
        <w:spacing w:line="240" w:lineRule="auto"/>
        <w:jc w:val="center"/>
        <w:rPr>
          <w:rFonts w:asciiTheme="majorBidi" w:hAnsiTheme="majorBidi" w:cstheme="majorBidi"/>
          <w:sz w:val="28"/>
          <w:szCs w:val="28"/>
          <w:lang w:eastAsia="en-GB"/>
        </w:rPr>
      </w:pPr>
      <w:r w:rsidRPr="00FA6DE5">
        <w:rPr>
          <w:rFonts w:asciiTheme="majorBidi" w:hAnsiTheme="majorBidi" w:cstheme="majorBidi"/>
          <w:sz w:val="28"/>
          <w:szCs w:val="28"/>
          <w:lang w:eastAsia="en-GB"/>
        </w:rPr>
        <w:lastRenderedPageBreak/>
        <w:t>Table 6: Annual changes in blue and green water flow in the future under A2, A1B, and B1.</w:t>
      </w:r>
    </w:p>
    <w:p w:rsidR="00FA6DE5" w:rsidRPr="005B1A8D" w:rsidRDefault="00FA6DE5" w:rsidP="00FA6DE5">
      <w:pPr>
        <w:spacing w:line="240" w:lineRule="auto"/>
        <w:jc w:val="center"/>
        <w:rPr>
          <w:rFonts w:asciiTheme="majorBidi" w:hAnsiTheme="majorBidi" w:cstheme="majorBidi"/>
          <w:sz w:val="28"/>
          <w:szCs w:val="28"/>
          <w:lang w:eastAsia="en-GB"/>
        </w:rPr>
      </w:pPr>
      <w:r w:rsidRPr="005B1A8D">
        <w:rPr>
          <w:rFonts w:asciiTheme="majorBidi" w:hAnsiTheme="majorBidi" w:cstheme="majorBidi"/>
          <w:noProof/>
          <w:lang w:eastAsia="en-US"/>
        </w:rPr>
        <w:drawing>
          <wp:inline distT="0" distB="0" distL="0" distR="0" wp14:anchorId="44C2D8EE" wp14:editId="0208FE1A">
            <wp:extent cx="3472628" cy="1960880"/>
            <wp:effectExtent l="38100" t="38100" r="33020" b="39370"/>
            <wp:docPr id="30" name="Picture 1" descr="C:\Users\HP-PC\Downloads\Assessment of Climate Change Impact on Water Lesswer Zab Kurdistan,  Iraq Using SWAT model -13-13-page-00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243223" name="Picture 1" descr="C:\Users\HP-PC\Downloads\Assessment of Climate Change Impact on Water Lesswer Zab Kurdistan,  Iraq Using SWAT model -13-13-page-001 (1).jpg"/>
                    <pic:cNvPicPr>
                      <a:picLocks noChangeAspect="1" noChangeArrowheads="1"/>
                    </pic:cNvPicPr>
                  </pic:nvPicPr>
                  <pic:blipFill>
                    <a:blip r:embed="rId33" cstate="print"/>
                    <a:srcRect t="3004" r="983"/>
                    <a:stretch>
                      <a:fillRect/>
                    </a:stretch>
                  </pic:blipFill>
                  <pic:spPr bwMode="auto">
                    <a:xfrm>
                      <a:off x="0" y="0"/>
                      <a:ext cx="3500180" cy="1976437"/>
                    </a:xfrm>
                    <a:prstGeom prst="rect">
                      <a:avLst/>
                    </a:prstGeom>
                    <a:solidFill>
                      <a:schemeClr val="accent1"/>
                    </a:solidFill>
                    <a:ln w="28575">
                      <a:solidFill>
                        <a:schemeClr val="tx1"/>
                      </a:solidFill>
                      <a:miter lim="800000"/>
                      <a:headEnd/>
                      <a:tailEnd/>
                    </a:ln>
                  </pic:spPr>
                </pic:pic>
              </a:graphicData>
            </a:graphic>
          </wp:inline>
        </w:drawing>
      </w:r>
    </w:p>
    <w:p w:rsidR="00EF5A57" w:rsidRDefault="00EF5A57" w:rsidP="003150B9">
      <w:pPr>
        <w:spacing w:after="240" w:line="360" w:lineRule="auto"/>
        <w:rPr>
          <w:szCs w:val="24"/>
        </w:rPr>
      </w:pPr>
    </w:p>
    <w:p w:rsidR="00FA6DE5" w:rsidRPr="005B1A8D" w:rsidRDefault="00FA6DE5" w:rsidP="00FA6DE5">
      <w:pPr>
        <w:spacing w:line="240" w:lineRule="auto"/>
        <w:rPr>
          <w:rFonts w:asciiTheme="majorBidi" w:hAnsiTheme="majorBidi" w:cstheme="majorBidi"/>
          <w:b/>
          <w:bCs/>
          <w:sz w:val="28"/>
          <w:szCs w:val="28"/>
          <w:lang w:eastAsia="en-GB"/>
        </w:rPr>
      </w:pPr>
      <w:r w:rsidRPr="005B1A8D">
        <w:rPr>
          <w:rFonts w:asciiTheme="majorBidi" w:hAnsiTheme="majorBidi" w:cstheme="majorBidi"/>
          <w:b/>
          <w:bCs/>
          <w:sz w:val="28"/>
          <w:szCs w:val="28"/>
          <w:lang w:eastAsia="en-GB"/>
        </w:rPr>
        <w:t>4.  Climate Change Impacts on Diyala River Basin</w:t>
      </w:r>
    </w:p>
    <w:p w:rsidR="00FA6DE5" w:rsidRPr="005B1A8D" w:rsidRDefault="00FA6DE5" w:rsidP="00FA6DE5">
      <w:pPr>
        <w:spacing w:line="240" w:lineRule="auto"/>
        <w:rPr>
          <w:rFonts w:asciiTheme="majorBidi" w:hAnsiTheme="majorBidi" w:cstheme="majorBidi"/>
          <w:sz w:val="28"/>
          <w:szCs w:val="28"/>
          <w:lang w:eastAsia="en-GB"/>
        </w:rPr>
      </w:pPr>
      <w:r w:rsidRPr="005B1A8D">
        <w:rPr>
          <w:rFonts w:asciiTheme="majorBidi" w:hAnsiTheme="majorBidi" w:cstheme="majorBidi"/>
          <w:sz w:val="28"/>
          <w:szCs w:val="28"/>
          <w:lang w:eastAsia="en-GB"/>
        </w:rPr>
        <w:t xml:space="preserve">   </w:t>
      </w:r>
      <w:r w:rsidRPr="005B1A8D">
        <w:rPr>
          <w:rFonts w:asciiTheme="majorBidi" w:hAnsiTheme="majorBidi" w:cstheme="majorBidi"/>
          <w:sz w:val="28"/>
          <w:szCs w:val="28"/>
          <w:lang w:eastAsia="en-GB"/>
        </w:rPr>
        <w:tab/>
        <w:t xml:space="preserve">This study was also done in the same period of time to investigate the future Climate Change impacts on the Diyala Diver, the other important tributary of the Tigris River </w:t>
      </w:r>
      <w:r w:rsidRPr="005B1A8D">
        <w:rPr>
          <w:rFonts w:asciiTheme="majorBidi" w:hAnsiTheme="majorBidi" w:cstheme="majorBidi"/>
          <w:sz w:val="28"/>
          <w:szCs w:val="28"/>
        </w:rPr>
        <w:t>[43]</w:t>
      </w:r>
      <w:r w:rsidRPr="005B1A8D">
        <w:rPr>
          <w:rFonts w:asciiTheme="majorBidi" w:hAnsiTheme="majorBidi" w:cstheme="majorBidi"/>
          <w:sz w:val="28"/>
          <w:szCs w:val="28"/>
          <w:lang w:eastAsia="en-GB"/>
        </w:rPr>
        <w:t xml:space="preserve">. The river basin has a surface area of 32,600 km2, and it adjoins Iran from the east. The main tributaries of the river are; </w:t>
      </w:r>
      <w:proofErr w:type="spellStart"/>
      <w:r w:rsidRPr="005B1A8D">
        <w:rPr>
          <w:rFonts w:asciiTheme="majorBidi" w:hAnsiTheme="majorBidi" w:cstheme="majorBidi"/>
          <w:sz w:val="28"/>
          <w:szCs w:val="28"/>
          <w:lang w:eastAsia="en-GB"/>
        </w:rPr>
        <w:t>Sirwan</w:t>
      </w:r>
      <w:proofErr w:type="spellEnd"/>
      <w:r w:rsidRPr="005B1A8D">
        <w:rPr>
          <w:rFonts w:asciiTheme="majorBidi" w:hAnsiTheme="majorBidi" w:cstheme="majorBidi"/>
          <w:sz w:val="28"/>
          <w:szCs w:val="28"/>
          <w:lang w:eastAsia="en-GB"/>
        </w:rPr>
        <w:t xml:space="preserve">, </w:t>
      </w:r>
      <w:proofErr w:type="spellStart"/>
      <w:r w:rsidRPr="005B1A8D">
        <w:rPr>
          <w:rFonts w:asciiTheme="majorBidi" w:hAnsiTheme="majorBidi" w:cstheme="majorBidi"/>
          <w:sz w:val="28"/>
          <w:szCs w:val="28"/>
          <w:lang w:eastAsia="en-GB"/>
        </w:rPr>
        <w:t>Tanjeru</w:t>
      </w:r>
      <w:proofErr w:type="spellEnd"/>
      <w:r w:rsidRPr="005B1A8D">
        <w:rPr>
          <w:rFonts w:asciiTheme="majorBidi" w:hAnsiTheme="majorBidi" w:cstheme="majorBidi"/>
          <w:sz w:val="28"/>
          <w:szCs w:val="28"/>
          <w:lang w:eastAsia="en-GB"/>
        </w:rPr>
        <w:t xml:space="preserve">, and Al-Wand rivers. The total length of the Diyala River is 445 km and its confluence with the Tigris is 15 km south of Baghdad.  Two storage dams have been built on the river within Iraq: these are </w:t>
      </w:r>
      <w:proofErr w:type="spellStart"/>
      <w:r w:rsidRPr="005B1A8D">
        <w:rPr>
          <w:rFonts w:asciiTheme="majorBidi" w:hAnsiTheme="majorBidi" w:cstheme="majorBidi"/>
          <w:sz w:val="28"/>
          <w:szCs w:val="28"/>
          <w:lang w:eastAsia="en-GB"/>
        </w:rPr>
        <w:t>Derbendikan</w:t>
      </w:r>
      <w:proofErr w:type="spellEnd"/>
      <w:r w:rsidRPr="005B1A8D">
        <w:rPr>
          <w:rFonts w:asciiTheme="majorBidi" w:hAnsiTheme="majorBidi" w:cstheme="majorBidi"/>
          <w:sz w:val="28"/>
          <w:szCs w:val="28"/>
          <w:lang w:eastAsia="en-GB"/>
        </w:rPr>
        <w:t xml:space="preserve"> and </w:t>
      </w:r>
      <w:proofErr w:type="spellStart"/>
      <w:r w:rsidRPr="005B1A8D">
        <w:rPr>
          <w:rFonts w:asciiTheme="majorBidi" w:hAnsiTheme="majorBidi" w:cstheme="majorBidi"/>
          <w:sz w:val="28"/>
          <w:szCs w:val="28"/>
          <w:lang w:eastAsia="en-GB"/>
        </w:rPr>
        <w:t>Hemren</w:t>
      </w:r>
      <w:proofErr w:type="spellEnd"/>
      <w:r w:rsidRPr="005B1A8D">
        <w:rPr>
          <w:rFonts w:asciiTheme="majorBidi" w:hAnsiTheme="majorBidi" w:cstheme="majorBidi"/>
          <w:sz w:val="28"/>
          <w:szCs w:val="28"/>
          <w:lang w:eastAsia="en-GB"/>
        </w:rPr>
        <w:t xml:space="preserve"> dams in addition to a diversion weir; on the lower part of the river; the Diyala Weir. The map of the catchment area of the Diyala River is shown in figure 27. </w:t>
      </w:r>
    </w:p>
    <w:p w:rsidR="00FA6DE5" w:rsidRPr="005B1A8D" w:rsidRDefault="00FA6DE5" w:rsidP="00FA6DE5">
      <w:pPr>
        <w:spacing w:line="240" w:lineRule="auto"/>
        <w:ind w:firstLine="1304"/>
        <w:rPr>
          <w:rFonts w:asciiTheme="majorBidi" w:hAnsiTheme="majorBidi" w:cstheme="majorBidi"/>
          <w:sz w:val="28"/>
          <w:szCs w:val="28"/>
          <w:lang w:eastAsia="en-GB"/>
        </w:rPr>
      </w:pPr>
      <w:r w:rsidRPr="005B1A8D">
        <w:rPr>
          <w:rFonts w:asciiTheme="majorBidi" w:hAnsiTheme="majorBidi" w:cstheme="majorBidi"/>
          <w:sz w:val="28"/>
          <w:szCs w:val="28"/>
          <w:lang w:eastAsia="en-GB"/>
        </w:rPr>
        <w:t>In this study Six General Circulation Models (GCMS); namely, CGCM3.1/T47, CNRM-CM3, GFDL-CM2.1, IPSLCM4, MIROC3.2 (</w:t>
      </w:r>
      <w:proofErr w:type="spellStart"/>
      <w:r w:rsidRPr="005B1A8D">
        <w:rPr>
          <w:rFonts w:asciiTheme="majorBidi" w:hAnsiTheme="majorBidi" w:cstheme="majorBidi"/>
          <w:sz w:val="28"/>
          <w:szCs w:val="28"/>
          <w:lang w:eastAsia="en-GB"/>
        </w:rPr>
        <w:t>medres</w:t>
      </w:r>
      <w:proofErr w:type="spellEnd"/>
      <w:r w:rsidRPr="005B1A8D">
        <w:rPr>
          <w:rFonts w:asciiTheme="majorBidi" w:hAnsiTheme="majorBidi" w:cstheme="majorBidi"/>
          <w:sz w:val="28"/>
          <w:szCs w:val="28"/>
          <w:lang w:eastAsia="en-GB"/>
        </w:rPr>
        <w:t xml:space="preserve">) and MRI CGCM2.3.2 were used for climate change projections in the Diyala basin under three commonly used scenarios; Scenario (A2), a moderate emission scenario (A1B) and a low emission scenario (B1) for two future periods (2046~2064 and 2080~2100). The projected temperatures and precipitation were then applied to the SWAT model to compare water resources in the basin with the baseline period (1980~2010). The Bias Corrected Spatial Downscaling (BCSD) method was used to downscale the GCM results for implementing the model calibration for the Diyala basin.  SWAT </w:t>
      </w:r>
      <w:r w:rsidRPr="005B1A8D">
        <w:rPr>
          <w:rFonts w:asciiTheme="majorBidi" w:hAnsiTheme="majorBidi" w:cstheme="majorBidi"/>
          <w:sz w:val="28"/>
          <w:szCs w:val="28"/>
          <w:lang w:eastAsia="en-GB"/>
        </w:rPr>
        <w:lastRenderedPageBreak/>
        <w:t>was calibrated and validated for Diyala basin on a monthly scale at Derbendi-Khan station.  The model was calibrated for 18 years (1979-1996) and validated for 8 years (1997- 200 4)</w:t>
      </w:r>
    </w:p>
    <w:p w:rsidR="00FA6DE5" w:rsidRPr="005B1A8D" w:rsidRDefault="00FA6DE5" w:rsidP="00FA6DE5">
      <w:pPr>
        <w:spacing w:line="240" w:lineRule="auto"/>
        <w:jc w:val="center"/>
        <w:rPr>
          <w:rFonts w:asciiTheme="majorBidi" w:hAnsiTheme="majorBidi" w:cstheme="majorBidi"/>
          <w:sz w:val="28"/>
          <w:szCs w:val="28"/>
          <w:lang w:eastAsia="en-GB"/>
        </w:rPr>
      </w:pPr>
      <w:r w:rsidRPr="005B1A8D">
        <w:rPr>
          <w:rFonts w:asciiTheme="majorBidi" w:hAnsiTheme="majorBidi" w:cstheme="majorBidi"/>
          <w:noProof/>
          <w:lang w:eastAsia="en-US"/>
        </w:rPr>
        <w:drawing>
          <wp:inline distT="0" distB="0" distL="0" distR="0" wp14:anchorId="7E9ED8AF" wp14:editId="2EEBBD04">
            <wp:extent cx="3049905" cy="3364441"/>
            <wp:effectExtent l="38100" t="38100" r="36195" b="45720"/>
            <wp:docPr id="31" name="Picture 2" descr="C:\Users\HP-PC\Downloads\Impacts of Climate Change on Water Resources in Diyala River Basin,  Iraq-2-2-p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497711" name="Picture 2" descr="C:\Users\HP-PC\Downloads\Impacts of Climate Change on Water Resources in Diyala River Basin,  Iraq-2-2-page-001.jpg"/>
                    <pic:cNvPicPr>
                      <a:picLocks noChangeAspect="1" noChangeArrowheads="1"/>
                    </pic:cNvPicPr>
                  </pic:nvPicPr>
                  <pic:blipFill>
                    <a:blip r:embed="rId34" cstate="print"/>
                    <a:stretch>
                      <a:fillRect/>
                    </a:stretch>
                  </pic:blipFill>
                  <pic:spPr bwMode="auto">
                    <a:xfrm>
                      <a:off x="0" y="0"/>
                      <a:ext cx="3093676" cy="3412726"/>
                    </a:xfrm>
                    <a:prstGeom prst="rect">
                      <a:avLst/>
                    </a:prstGeom>
                    <a:noFill/>
                    <a:ln w="28575">
                      <a:solidFill>
                        <a:schemeClr val="tx1"/>
                      </a:solidFill>
                      <a:miter lim="800000"/>
                      <a:headEnd/>
                      <a:tailEnd/>
                    </a:ln>
                  </pic:spPr>
                </pic:pic>
              </a:graphicData>
            </a:graphic>
          </wp:inline>
        </w:drawing>
      </w:r>
    </w:p>
    <w:p w:rsidR="00FA6DE5" w:rsidRPr="00FA6DE5" w:rsidRDefault="00FA6DE5" w:rsidP="00FA6DE5">
      <w:pPr>
        <w:spacing w:line="240" w:lineRule="auto"/>
        <w:jc w:val="center"/>
        <w:rPr>
          <w:rFonts w:asciiTheme="majorBidi" w:hAnsiTheme="majorBidi" w:cstheme="majorBidi"/>
          <w:sz w:val="28"/>
          <w:szCs w:val="28"/>
          <w:lang w:eastAsia="en-GB"/>
        </w:rPr>
      </w:pPr>
      <w:r w:rsidRPr="00FA6DE5">
        <w:rPr>
          <w:rFonts w:asciiTheme="majorBidi" w:hAnsiTheme="majorBidi" w:cstheme="majorBidi"/>
          <w:sz w:val="28"/>
          <w:szCs w:val="28"/>
          <w:lang w:eastAsia="en-GB"/>
        </w:rPr>
        <w:t>Fig. 27: Catchment area of the Diyala River, International border with Iran is shown.</w:t>
      </w:r>
    </w:p>
    <w:p w:rsidR="00FA6DE5" w:rsidRPr="005B1A8D" w:rsidRDefault="00FA6DE5" w:rsidP="00FA6DE5">
      <w:pPr>
        <w:spacing w:line="240" w:lineRule="auto"/>
        <w:rPr>
          <w:rFonts w:asciiTheme="majorBidi" w:hAnsiTheme="majorBidi" w:cstheme="majorBidi"/>
          <w:sz w:val="28"/>
          <w:szCs w:val="28"/>
          <w:lang w:eastAsia="en-GB"/>
        </w:rPr>
      </w:pPr>
      <w:r w:rsidRPr="005B1A8D">
        <w:rPr>
          <w:rFonts w:asciiTheme="majorBidi" w:hAnsiTheme="majorBidi" w:cstheme="majorBidi"/>
          <w:sz w:val="28"/>
          <w:szCs w:val="28"/>
          <w:lang w:eastAsia="en-GB"/>
        </w:rPr>
        <w:t xml:space="preserve">     </w:t>
      </w:r>
      <w:r w:rsidRPr="005B1A8D">
        <w:rPr>
          <w:rFonts w:asciiTheme="majorBidi" w:hAnsiTheme="majorBidi" w:cstheme="majorBidi"/>
          <w:sz w:val="28"/>
          <w:szCs w:val="28"/>
          <w:lang w:eastAsia="en-GB"/>
        </w:rPr>
        <w:tab/>
      </w:r>
    </w:p>
    <w:p w:rsidR="00FA6DE5" w:rsidRPr="005B1A8D" w:rsidRDefault="00FA6DE5" w:rsidP="00FA6DE5">
      <w:pPr>
        <w:spacing w:line="240" w:lineRule="auto"/>
        <w:rPr>
          <w:rFonts w:asciiTheme="majorBidi" w:hAnsiTheme="majorBidi" w:cstheme="majorBidi"/>
          <w:sz w:val="28"/>
          <w:szCs w:val="28"/>
          <w:lang w:eastAsia="en-GB"/>
        </w:rPr>
      </w:pPr>
      <w:r w:rsidRPr="005B1A8D">
        <w:rPr>
          <w:rFonts w:asciiTheme="majorBidi" w:hAnsiTheme="majorBidi" w:cstheme="majorBidi"/>
          <w:sz w:val="28"/>
          <w:szCs w:val="28"/>
          <w:lang w:eastAsia="en-GB"/>
        </w:rPr>
        <w:t xml:space="preserve"> Mean annual temperature and precipitation outputs from the six GCMs identified earlier were processed for the Diyala basin under the three selected scenarios (A2, A1B, and B1). Table (7) captures the projected changes in mean annual temperature for two future periods, 2046~2064 and 2080~2100, relative to baseline period (1980~2010). Changes in mean temperature are highly likely to be steadier than precipitation. All the models showed constant increasing trends in temperature. Alterations in mean temperature modify evapotranspiration and precipitation and consequently thus blue water and green water flows.</w:t>
      </w:r>
    </w:p>
    <w:p w:rsidR="00FA6DE5" w:rsidRPr="005B1A8D" w:rsidRDefault="00FA6DE5" w:rsidP="00FA6DE5">
      <w:pPr>
        <w:spacing w:line="240" w:lineRule="auto"/>
        <w:ind w:firstLine="1304"/>
        <w:rPr>
          <w:rFonts w:asciiTheme="majorBidi" w:hAnsiTheme="majorBidi" w:cstheme="majorBidi"/>
          <w:sz w:val="28"/>
          <w:szCs w:val="28"/>
          <w:lang w:eastAsia="en-GB"/>
        </w:rPr>
      </w:pPr>
      <w:r w:rsidRPr="005B1A8D">
        <w:rPr>
          <w:rFonts w:asciiTheme="majorBidi" w:hAnsiTheme="majorBidi" w:cstheme="majorBidi"/>
          <w:sz w:val="28"/>
          <w:szCs w:val="28"/>
          <w:lang w:eastAsia="en-GB"/>
        </w:rPr>
        <w:t xml:space="preserve">  The Impacts of Climate Change on Blue and Green Water as obtained from this study indicate that blue water distribution for A2, A1B and B1 scenarios for the periods 2046~2064 and 2080~2100 for the average change of multi-GCM ensemble will undergo a general decline in the southern part of the basin. For the half-centennial </w:t>
      </w:r>
      <w:r w:rsidRPr="005B1A8D">
        <w:rPr>
          <w:rFonts w:asciiTheme="majorBidi" w:hAnsiTheme="majorBidi" w:cstheme="majorBidi"/>
          <w:sz w:val="28"/>
          <w:szCs w:val="28"/>
          <w:lang w:eastAsia="en-GB"/>
        </w:rPr>
        <w:lastRenderedPageBreak/>
        <w:t>projection (2046~2064), this part of the basin will experience an average reduction of up to 52% under A2 followed by 47% under A1B and then 42% under B1 scenario, however the north of Basin will see an average increases up to 17% under A1B and B1 scenarios and 27% under A2 scenario. For the one-century future, in the downstream of the basin, the reductions will increase to up to 56%, 50% and m39% under A2, A1B, and B1, respectively. Two percent of the north of the basin only will experience increase up 14% under A2 and A1B scenarios, however, under B1 scenario the increases will be up to 27%. Green water storage will have similar trends as for the blue water which has just been described.</w:t>
      </w:r>
    </w:p>
    <w:p w:rsidR="00FA6DE5" w:rsidRPr="005B1A8D" w:rsidRDefault="00FA6DE5" w:rsidP="00FA6DE5">
      <w:pPr>
        <w:spacing w:line="240" w:lineRule="auto"/>
        <w:jc w:val="center"/>
        <w:rPr>
          <w:rFonts w:asciiTheme="majorBidi" w:hAnsiTheme="majorBidi" w:cstheme="majorBidi"/>
          <w:i/>
          <w:iCs/>
          <w:noProof/>
          <w:lang w:val="en-GB" w:eastAsia="en-GB"/>
        </w:rPr>
      </w:pPr>
    </w:p>
    <w:p w:rsidR="00FA6DE5" w:rsidRPr="00FA6DE5" w:rsidRDefault="00FA6DE5" w:rsidP="00FA6DE5">
      <w:pPr>
        <w:spacing w:line="240" w:lineRule="auto"/>
        <w:jc w:val="center"/>
        <w:rPr>
          <w:rFonts w:asciiTheme="majorBidi" w:hAnsiTheme="majorBidi" w:cstheme="majorBidi"/>
          <w:sz w:val="28"/>
          <w:szCs w:val="28"/>
          <w:lang w:eastAsia="en-GB"/>
        </w:rPr>
      </w:pPr>
      <w:r w:rsidRPr="00FA6DE5">
        <w:rPr>
          <w:rFonts w:asciiTheme="majorBidi" w:hAnsiTheme="majorBidi" w:cstheme="majorBidi"/>
          <w:sz w:val="28"/>
          <w:szCs w:val="28"/>
          <w:lang w:eastAsia="en-GB"/>
        </w:rPr>
        <w:t>Table7: GCM predicted changes in the mean annual temperature of the future under A2, A1B and B1 scenarios in Diyala Basin.</w:t>
      </w:r>
    </w:p>
    <w:p w:rsidR="00FA6DE5" w:rsidRPr="005B1A8D" w:rsidRDefault="00FA6DE5" w:rsidP="00FA6DE5">
      <w:pPr>
        <w:spacing w:line="240" w:lineRule="auto"/>
        <w:jc w:val="center"/>
        <w:rPr>
          <w:rFonts w:asciiTheme="majorBidi" w:hAnsiTheme="majorBidi" w:cstheme="majorBidi"/>
          <w:sz w:val="28"/>
          <w:szCs w:val="28"/>
          <w:lang w:eastAsia="en-GB"/>
        </w:rPr>
      </w:pPr>
      <w:r w:rsidRPr="005B1A8D">
        <w:rPr>
          <w:rFonts w:asciiTheme="majorBidi" w:hAnsiTheme="majorBidi" w:cstheme="majorBidi"/>
          <w:noProof/>
          <w:lang w:eastAsia="en-US"/>
        </w:rPr>
        <w:drawing>
          <wp:inline distT="0" distB="0" distL="0" distR="0" wp14:anchorId="24BF1DA5" wp14:editId="52E0F897">
            <wp:extent cx="4795520" cy="1379734"/>
            <wp:effectExtent l="38100" t="38100" r="43180" b="30480"/>
            <wp:docPr id="32" name="Picture 1" descr="C:\Users\HP-PC\Downloads\Impacts of Climate Change on Water Resources in Diyala River Basin,  Iraq-10-10-p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537168" name="Picture 1" descr="C:\Users\HP-PC\Downloads\Impacts of Climate Change on Water Resources in Diyala River Basin,  Iraq-10-10-page-001.jpg"/>
                    <pic:cNvPicPr>
                      <a:picLocks noChangeAspect="1" noChangeArrowheads="1"/>
                    </pic:cNvPicPr>
                  </pic:nvPicPr>
                  <pic:blipFill>
                    <a:blip r:embed="rId35" cstate="print"/>
                    <a:srcRect t="2797" r="2369" b="3291"/>
                    <a:stretch>
                      <a:fillRect/>
                    </a:stretch>
                  </pic:blipFill>
                  <pic:spPr bwMode="auto">
                    <a:xfrm>
                      <a:off x="0" y="0"/>
                      <a:ext cx="4808493" cy="1383466"/>
                    </a:xfrm>
                    <a:prstGeom prst="rect">
                      <a:avLst/>
                    </a:prstGeom>
                    <a:noFill/>
                    <a:ln w="28575">
                      <a:solidFill>
                        <a:schemeClr val="tx1"/>
                      </a:solidFill>
                      <a:miter lim="800000"/>
                      <a:headEnd/>
                      <a:tailEnd/>
                    </a:ln>
                  </pic:spPr>
                </pic:pic>
              </a:graphicData>
            </a:graphic>
          </wp:inline>
        </w:drawing>
      </w:r>
    </w:p>
    <w:p w:rsidR="00FA6DE5" w:rsidRDefault="00FA6DE5" w:rsidP="00FA6DE5">
      <w:pPr>
        <w:spacing w:line="240" w:lineRule="auto"/>
        <w:rPr>
          <w:rFonts w:asciiTheme="majorBidi" w:hAnsiTheme="majorBidi" w:cstheme="majorBidi"/>
          <w:b/>
          <w:bCs/>
          <w:sz w:val="28"/>
          <w:szCs w:val="28"/>
          <w:lang w:eastAsia="en-GB"/>
        </w:rPr>
      </w:pPr>
    </w:p>
    <w:p w:rsidR="00FA6DE5" w:rsidRPr="005B1A8D" w:rsidRDefault="00FA6DE5" w:rsidP="00FA6DE5">
      <w:pPr>
        <w:spacing w:line="240" w:lineRule="auto"/>
        <w:rPr>
          <w:rFonts w:asciiTheme="majorBidi" w:hAnsiTheme="majorBidi" w:cstheme="majorBidi"/>
          <w:b/>
          <w:bCs/>
          <w:sz w:val="28"/>
          <w:szCs w:val="28"/>
          <w:lang w:eastAsia="en-GB"/>
        </w:rPr>
      </w:pPr>
      <w:r w:rsidRPr="005B1A8D">
        <w:rPr>
          <w:rFonts w:asciiTheme="majorBidi" w:hAnsiTheme="majorBidi" w:cstheme="majorBidi"/>
          <w:b/>
          <w:bCs/>
          <w:sz w:val="28"/>
          <w:szCs w:val="28"/>
          <w:lang w:eastAsia="en-GB"/>
        </w:rPr>
        <w:t>5. Climate Change Impacts on Khabour River Basin</w:t>
      </w:r>
    </w:p>
    <w:p w:rsidR="00FA6DE5" w:rsidRPr="005B1A8D" w:rsidRDefault="00FA6DE5" w:rsidP="00FA6DE5">
      <w:pPr>
        <w:spacing w:line="240" w:lineRule="auto"/>
        <w:ind w:firstLine="1304"/>
        <w:rPr>
          <w:rFonts w:asciiTheme="majorBidi" w:hAnsiTheme="majorBidi" w:cstheme="majorBidi"/>
          <w:sz w:val="28"/>
          <w:szCs w:val="28"/>
          <w:lang w:eastAsia="en-GB"/>
        </w:rPr>
      </w:pPr>
      <w:r w:rsidRPr="005B1A8D">
        <w:rPr>
          <w:rFonts w:asciiTheme="majorBidi" w:hAnsiTheme="majorBidi" w:cstheme="majorBidi"/>
          <w:sz w:val="28"/>
          <w:szCs w:val="28"/>
          <w:lang w:eastAsia="en-GB"/>
        </w:rPr>
        <w:t xml:space="preserve">Modeling the future projections of Climate Change Impacts on the Khabour River Basin was also carried out by </w:t>
      </w:r>
      <w:r w:rsidRPr="005B1A8D">
        <w:rPr>
          <w:rFonts w:asciiTheme="majorBidi" w:hAnsiTheme="majorBidi" w:cstheme="majorBidi"/>
          <w:sz w:val="28"/>
          <w:szCs w:val="28"/>
        </w:rPr>
        <w:t>[44]</w:t>
      </w:r>
      <w:r w:rsidRPr="005B1A8D">
        <w:rPr>
          <w:rFonts w:asciiTheme="majorBidi" w:hAnsiTheme="majorBidi" w:cstheme="majorBidi"/>
          <w:sz w:val="28"/>
          <w:szCs w:val="28"/>
          <w:lang w:eastAsia="en-GB"/>
        </w:rPr>
        <w:t>.  The surface area of the Khabour River is 6,143 km2, out of which 57% is in Turkey and 43% in Iraq. Total Length of the river is 181 km and it contributes about 2 billion cubic meters of water to the average annual flow of the Tigris. The location of the river basin is shown in figure 28.</w:t>
      </w:r>
    </w:p>
    <w:p w:rsidR="00FA6DE5" w:rsidRPr="005B1A8D" w:rsidRDefault="00FA6DE5" w:rsidP="00FA6DE5">
      <w:pPr>
        <w:spacing w:line="240" w:lineRule="auto"/>
        <w:ind w:firstLine="1304"/>
        <w:rPr>
          <w:rFonts w:asciiTheme="majorBidi" w:hAnsiTheme="majorBidi" w:cstheme="majorBidi"/>
          <w:sz w:val="28"/>
          <w:szCs w:val="28"/>
          <w:lang w:eastAsia="en-GB"/>
        </w:rPr>
      </w:pPr>
      <w:r w:rsidRPr="005B1A8D">
        <w:rPr>
          <w:rFonts w:asciiTheme="majorBidi" w:hAnsiTheme="majorBidi" w:cstheme="majorBidi"/>
          <w:sz w:val="28"/>
          <w:szCs w:val="28"/>
          <w:lang w:eastAsia="en-GB"/>
        </w:rPr>
        <w:t>The SWAT model was used in this modeling. Six GCMs from CMIP3 namely, CGCM3.1/T47, CNRM-CM3, GFDL-CM2.1, IPSLCM4, MIROC3.2 (</w:t>
      </w:r>
      <w:proofErr w:type="spellStart"/>
      <w:r w:rsidRPr="005B1A8D">
        <w:rPr>
          <w:rFonts w:asciiTheme="majorBidi" w:hAnsiTheme="majorBidi" w:cstheme="majorBidi"/>
          <w:sz w:val="28"/>
          <w:szCs w:val="28"/>
          <w:lang w:eastAsia="en-GB"/>
        </w:rPr>
        <w:t>medres</w:t>
      </w:r>
      <w:proofErr w:type="spellEnd"/>
      <w:r w:rsidRPr="005B1A8D">
        <w:rPr>
          <w:rFonts w:asciiTheme="majorBidi" w:hAnsiTheme="majorBidi" w:cstheme="majorBidi"/>
          <w:sz w:val="28"/>
          <w:szCs w:val="28"/>
          <w:lang w:eastAsia="en-GB"/>
        </w:rPr>
        <w:t xml:space="preserve">) and MRI CGCM2.3.2 were selected for climate change projections in the basin under a very high emission scenario (A2), a medium emission scenario (A1B) and a low emission scenario (B1) for two future periods (2046-2064) and (2080-2100). All GCMs showed consistent increases in temperature and decreases in precipitation, and as expected, highest rate for A2 and lowest rate for </w:t>
      </w:r>
      <w:r w:rsidRPr="005B1A8D">
        <w:rPr>
          <w:rFonts w:asciiTheme="majorBidi" w:hAnsiTheme="majorBidi" w:cstheme="majorBidi"/>
          <w:sz w:val="28"/>
          <w:szCs w:val="28"/>
          <w:lang w:eastAsia="en-GB"/>
        </w:rPr>
        <w:lastRenderedPageBreak/>
        <w:t>B1. The projected temperatures and precipitation were input to the SWAT model to project water resources, and the model outputs were compared with the baseline period (1980-2010), the picture that emerged depicted deteriorating water resources variability.</w:t>
      </w:r>
    </w:p>
    <w:p w:rsidR="00FA6DE5" w:rsidRPr="005B1A8D" w:rsidRDefault="00FA6DE5" w:rsidP="00FA6DE5">
      <w:pPr>
        <w:spacing w:line="240" w:lineRule="auto"/>
        <w:jc w:val="center"/>
        <w:rPr>
          <w:rFonts w:asciiTheme="majorBidi" w:hAnsiTheme="majorBidi" w:cstheme="majorBidi"/>
          <w:sz w:val="28"/>
          <w:szCs w:val="28"/>
          <w:rtl/>
          <w:lang w:eastAsia="en-GB"/>
        </w:rPr>
      </w:pPr>
      <w:r w:rsidRPr="005B1A8D">
        <w:rPr>
          <w:rFonts w:asciiTheme="majorBidi" w:hAnsiTheme="majorBidi" w:cstheme="majorBidi"/>
          <w:noProof/>
          <w:rtl/>
          <w:lang w:eastAsia="en-US"/>
        </w:rPr>
        <w:drawing>
          <wp:inline distT="0" distB="0" distL="0" distR="0" wp14:anchorId="2C8381D8" wp14:editId="4C190DD1">
            <wp:extent cx="2541856" cy="2366010"/>
            <wp:effectExtent l="38100" t="38100" r="30480" b="34290"/>
            <wp:docPr id="39" name="Picture 2" descr="C:\Users\HP-PC\Downloads\Assessment of Climate change impacts on water resources of Khabour  in Kurdistan, Iraq using SWAT model-3-3-p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058002" name="Picture 2" descr="C:\Users\HP-PC\Downloads\Assessment of Climate change impacts on water resources of Khabour  in Kurdistan, Iraq using SWAT model-3-3-page-001.jpg"/>
                    <pic:cNvPicPr>
                      <a:picLocks noChangeAspect="1" noChangeArrowheads="1"/>
                    </pic:cNvPicPr>
                  </pic:nvPicPr>
                  <pic:blipFill>
                    <a:blip r:embed="rId36" cstate="print"/>
                    <a:stretch>
                      <a:fillRect/>
                    </a:stretch>
                  </pic:blipFill>
                  <pic:spPr bwMode="auto">
                    <a:xfrm>
                      <a:off x="0" y="0"/>
                      <a:ext cx="2551684" cy="2375158"/>
                    </a:xfrm>
                    <a:prstGeom prst="rect">
                      <a:avLst/>
                    </a:prstGeom>
                    <a:noFill/>
                    <a:ln w="28575">
                      <a:solidFill>
                        <a:schemeClr val="tx1"/>
                      </a:solidFill>
                      <a:miter lim="800000"/>
                      <a:headEnd/>
                      <a:tailEnd/>
                    </a:ln>
                  </pic:spPr>
                </pic:pic>
              </a:graphicData>
            </a:graphic>
          </wp:inline>
        </w:drawing>
      </w:r>
    </w:p>
    <w:p w:rsidR="00FA6DE5" w:rsidRPr="005B1A8D" w:rsidRDefault="00FA6DE5" w:rsidP="00FA6DE5">
      <w:pPr>
        <w:spacing w:line="240" w:lineRule="auto"/>
        <w:jc w:val="center"/>
        <w:rPr>
          <w:rFonts w:asciiTheme="majorBidi" w:hAnsiTheme="majorBidi" w:cstheme="majorBidi"/>
          <w:i/>
          <w:iCs/>
          <w:noProof/>
          <w:lang w:val="en-GB" w:eastAsia="en-GB"/>
        </w:rPr>
      </w:pPr>
      <w:r w:rsidRPr="005B1A8D">
        <w:rPr>
          <w:rFonts w:asciiTheme="majorBidi" w:hAnsiTheme="majorBidi" w:cstheme="majorBidi"/>
          <w:i/>
          <w:iCs/>
          <w:noProof/>
          <w:lang w:val="en-GB" w:eastAsia="en-GB"/>
        </w:rPr>
        <w:t>Fig. 28: Location of Khabour River Basin</w:t>
      </w:r>
    </w:p>
    <w:p w:rsidR="00FA6DE5" w:rsidRPr="005B1A8D" w:rsidRDefault="00FA6DE5" w:rsidP="00FA6DE5">
      <w:pPr>
        <w:spacing w:line="240" w:lineRule="auto"/>
        <w:rPr>
          <w:rFonts w:asciiTheme="majorBidi" w:hAnsiTheme="majorBidi" w:cstheme="majorBidi"/>
          <w:sz w:val="28"/>
          <w:szCs w:val="28"/>
          <w:rtl/>
          <w:lang w:eastAsia="en-GB"/>
        </w:rPr>
      </w:pPr>
    </w:p>
    <w:p w:rsidR="00FA6DE5" w:rsidRPr="005B1A8D" w:rsidRDefault="00FA6DE5" w:rsidP="00FA6DE5">
      <w:pPr>
        <w:spacing w:line="240" w:lineRule="auto"/>
        <w:ind w:firstLine="1304"/>
        <w:rPr>
          <w:rFonts w:asciiTheme="majorBidi" w:hAnsiTheme="majorBidi" w:cstheme="majorBidi"/>
          <w:sz w:val="28"/>
          <w:szCs w:val="28"/>
          <w:lang w:eastAsia="en-GB"/>
        </w:rPr>
      </w:pPr>
      <w:r w:rsidRPr="005B1A8D">
        <w:rPr>
          <w:rFonts w:asciiTheme="majorBidi" w:hAnsiTheme="majorBidi" w:cstheme="majorBidi"/>
          <w:sz w:val="28"/>
          <w:szCs w:val="28"/>
          <w:lang w:eastAsia="en-GB"/>
        </w:rPr>
        <w:t>The model was calibrated and validated using Zakho discharge station. The calibration period was ten years (1977-1986), the validation period was three years (1987-1989). Final results of running the model are given in table (8), table (9). Final impacts on the annual streamflow of the river are shown in figure 29.</w:t>
      </w:r>
    </w:p>
    <w:p w:rsidR="00FA6DE5" w:rsidRPr="005B1A8D" w:rsidRDefault="00FA6DE5" w:rsidP="00FA6DE5">
      <w:pPr>
        <w:spacing w:line="240" w:lineRule="auto"/>
        <w:rPr>
          <w:rFonts w:asciiTheme="majorBidi" w:hAnsiTheme="majorBidi" w:cstheme="majorBidi"/>
          <w:sz w:val="28"/>
          <w:szCs w:val="28"/>
          <w:rtl/>
          <w:lang w:eastAsia="en-GB"/>
        </w:rPr>
      </w:pPr>
    </w:p>
    <w:p w:rsidR="00FA6DE5" w:rsidRPr="005B1A8D" w:rsidRDefault="00FA6DE5" w:rsidP="00FA6DE5">
      <w:pPr>
        <w:spacing w:line="240" w:lineRule="auto"/>
        <w:jc w:val="center"/>
        <w:rPr>
          <w:rFonts w:asciiTheme="majorBidi" w:hAnsiTheme="majorBidi" w:cstheme="majorBidi"/>
          <w:i/>
          <w:iCs/>
          <w:noProof/>
          <w:lang w:val="en-GB" w:eastAsia="en-GB"/>
        </w:rPr>
      </w:pPr>
      <w:r w:rsidRPr="005B1A8D">
        <w:rPr>
          <w:rFonts w:asciiTheme="majorBidi" w:hAnsiTheme="majorBidi" w:cstheme="majorBidi"/>
          <w:i/>
          <w:iCs/>
          <w:noProof/>
          <w:lang w:val="en-GB" w:eastAsia="en-GB"/>
        </w:rPr>
        <w:t>Table 8: GCM predicted changes in the mean annual temperature of the future under A2, A1B, and B1 Scenarios.</w:t>
      </w:r>
    </w:p>
    <w:p w:rsidR="00FA6DE5" w:rsidRPr="005B1A8D" w:rsidRDefault="00FA6DE5" w:rsidP="00FA6DE5">
      <w:pPr>
        <w:spacing w:line="240" w:lineRule="auto"/>
        <w:jc w:val="center"/>
        <w:rPr>
          <w:rFonts w:asciiTheme="majorBidi" w:hAnsiTheme="majorBidi" w:cstheme="majorBidi"/>
          <w:sz w:val="28"/>
          <w:szCs w:val="28"/>
          <w:lang w:eastAsia="en-GB"/>
        </w:rPr>
      </w:pPr>
      <w:r w:rsidRPr="005B1A8D">
        <w:rPr>
          <w:rFonts w:asciiTheme="majorBidi" w:eastAsia="Calibri" w:hAnsiTheme="majorBidi" w:cstheme="majorBidi"/>
          <w:noProof/>
          <w:rtl/>
          <w:lang w:eastAsia="en-US"/>
        </w:rPr>
        <w:drawing>
          <wp:inline distT="0" distB="0" distL="0" distR="0" wp14:anchorId="7833D64D" wp14:editId="77B13DD5">
            <wp:extent cx="4125368" cy="1488440"/>
            <wp:effectExtent l="38100" t="38100" r="46990" b="35560"/>
            <wp:docPr id="40" name="Picture 3" descr="C:\Users\HP-PC\Downloads\Assessment of Climate change impacts on water resources of Khabour  in Kurdistan, Iraq using SWAT model-13-13 (1)-p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698566" name="Picture 3" descr="C:\Users\HP-PC\Downloads\Assessment of Climate change impacts on water resources of Khabour  in Kurdistan, Iraq using SWAT model-13-13 (1)-page-001.jpg"/>
                    <pic:cNvPicPr>
                      <a:picLocks noChangeAspect="1" noChangeArrowheads="1"/>
                    </pic:cNvPicPr>
                  </pic:nvPicPr>
                  <pic:blipFill>
                    <a:blip r:embed="rId37" cstate="print"/>
                    <a:srcRect l="1941" t="3273" r="1361" b="4972"/>
                    <a:stretch>
                      <a:fillRect/>
                    </a:stretch>
                  </pic:blipFill>
                  <pic:spPr bwMode="auto">
                    <a:xfrm>
                      <a:off x="0" y="0"/>
                      <a:ext cx="4213970" cy="1520408"/>
                    </a:xfrm>
                    <a:prstGeom prst="rect">
                      <a:avLst/>
                    </a:prstGeom>
                    <a:noFill/>
                    <a:ln w="28575">
                      <a:solidFill>
                        <a:sysClr val="windowText" lastClr="000000"/>
                      </a:solidFill>
                      <a:miter lim="800000"/>
                      <a:headEnd/>
                      <a:tailEnd/>
                    </a:ln>
                  </pic:spPr>
                </pic:pic>
              </a:graphicData>
            </a:graphic>
          </wp:inline>
        </w:drawing>
      </w:r>
    </w:p>
    <w:p w:rsidR="00FA6DE5" w:rsidRPr="005B1A8D" w:rsidRDefault="00FA6DE5" w:rsidP="00FA6DE5">
      <w:pPr>
        <w:spacing w:line="240" w:lineRule="auto"/>
        <w:jc w:val="center"/>
        <w:rPr>
          <w:rFonts w:asciiTheme="majorBidi" w:hAnsiTheme="majorBidi" w:cstheme="majorBidi"/>
          <w:i/>
          <w:iCs/>
          <w:noProof/>
          <w:lang w:val="en-GB" w:eastAsia="en-GB"/>
        </w:rPr>
      </w:pPr>
      <w:r w:rsidRPr="005B1A8D">
        <w:rPr>
          <w:rFonts w:asciiTheme="majorBidi" w:hAnsiTheme="majorBidi" w:cstheme="majorBidi"/>
          <w:i/>
          <w:iCs/>
          <w:noProof/>
          <w:lang w:val="en-GB" w:eastAsia="en-GB"/>
        </w:rPr>
        <w:t>Table 9: GCM predicted changes in the mean annual precipitation of the future under A2, A1B and B1 scenarios.</w:t>
      </w:r>
    </w:p>
    <w:p w:rsidR="00FA6DE5" w:rsidRPr="005B1A8D" w:rsidRDefault="00FA6DE5" w:rsidP="00FA6DE5">
      <w:pPr>
        <w:spacing w:line="240" w:lineRule="auto"/>
        <w:jc w:val="center"/>
        <w:rPr>
          <w:rFonts w:asciiTheme="majorBidi" w:hAnsiTheme="majorBidi" w:cstheme="majorBidi"/>
          <w:sz w:val="28"/>
          <w:szCs w:val="28"/>
          <w:lang w:eastAsia="en-GB"/>
        </w:rPr>
      </w:pPr>
      <w:r w:rsidRPr="005B1A8D">
        <w:rPr>
          <w:rFonts w:asciiTheme="majorBidi" w:eastAsia="Calibri" w:hAnsiTheme="majorBidi" w:cstheme="majorBidi"/>
          <w:noProof/>
          <w:lang w:eastAsia="en-US"/>
        </w:rPr>
        <w:lastRenderedPageBreak/>
        <w:drawing>
          <wp:inline distT="0" distB="0" distL="0" distR="0" wp14:anchorId="659E09F0" wp14:editId="7AF03C3D">
            <wp:extent cx="4449232" cy="1599993"/>
            <wp:effectExtent l="38100" t="38100" r="27940" b="38735"/>
            <wp:docPr id="35" name="Picture 7" descr="C:\Users\HP-PC\Downloads\Assessment of Climate change impacts on water resources of Khabour  in Kurdistan, Iraq using SWAT model-14-14-page-00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542308" name="Picture 7" descr="C:\Users\HP-PC\Downloads\Assessment of Climate change impacts on water resources of Khabour  in Kurdistan, Iraq using SWAT model-14-14-page-001 (1).jpg"/>
                    <pic:cNvPicPr>
                      <a:picLocks noChangeAspect="1" noChangeArrowheads="1"/>
                    </pic:cNvPicPr>
                  </pic:nvPicPr>
                  <pic:blipFill>
                    <a:blip r:embed="rId38" cstate="print"/>
                    <a:srcRect l="2238" t="3150" r="2302" b="3786"/>
                    <a:stretch>
                      <a:fillRect/>
                    </a:stretch>
                  </pic:blipFill>
                  <pic:spPr bwMode="auto">
                    <a:xfrm>
                      <a:off x="0" y="0"/>
                      <a:ext cx="4500142" cy="1618301"/>
                    </a:xfrm>
                    <a:prstGeom prst="rect">
                      <a:avLst/>
                    </a:prstGeom>
                    <a:noFill/>
                    <a:ln w="28575">
                      <a:solidFill>
                        <a:sysClr val="windowText" lastClr="000000"/>
                      </a:solidFill>
                      <a:miter lim="800000"/>
                      <a:headEnd/>
                      <a:tailEnd/>
                    </a:ln>
                  </pic:spPr>
                </pic:pic>
              </a:graphicData>
            </a:graphic>
          </wp:inline>
        </w:drawing>
      </w:r>
    </w:p>
    <w:p w:rsidR="00FA6DE5" w:rsidRPr="005B1A8D" w:rsidRDefault="00FA6DE5" w:rsidP="00FA6DE5">
      <w:pPr>
        <w:spacing w:line="240" w:lineRule="auto"/>
        <w:jc w:val="center"/>
        <w:rPr>
          <w:rFonts w:asciiTheme="majorBidi" w:hAnsiTheme="majorBidi" w:cstheme="majorBidi"/>
          <w:sz w:val="28"/>
          <w:szCs w:val="28"/>
          <w:lang w:eastAsia="en-GB"/>
        </w:rPr>
      </w:pPr>
      <w:r w:rsidRPr="005B1A8D">
        <w:rPr>
          <w:rFonts w:asciiTheme="majorBidi" w:hAnsiTheme="majorBidi" w:cstheme="majorBidi"/>
          <w:noProof/>
          <w:lang w:eastAsia="en-US"/>
        </w:rPr>
        <w:drawing>
          <wp:inline distT="0" distB="0" distL="0" distR="0" wp14:anchorId="6D43DA42" wp14:editId="5F18F79B">
            <wp:extent cx="4412615" cy="2189441"/>
            <wp:effectExtent l="38100" t="38100" r="45085" b="40005"/>
            <wp:docPr id="3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401690" name="Picture 6"/>
                    <pic:cNvPicPr>
                      <a:picLocks noChangeAspect="1" noChangeArrowheads="1"/>
                    </pic:cNvPicPr>
                  </pic:nvPicPr>
                  <pic:blipFill>
                    <a:blip r:embed="rId39" cstate="print"/>
                    <a:srcRect l="2418" r="1561"/>
                    <a:stretch>
                      <a:fillRect/>
                    </a:stretch>
                  </pic:blipFill>
                  <pic:spPr bwMode="auto">
                    <a:xfrm>
                      <a:off x="0" y="0"/>
                      <a:ext cx="4468622" cy="2217231"/>
                    </a:xfrm>
                    <a:prstGeom prst="rect">
                      <a:avLst/>
                    </a:prstGeom>
                    <a:noFill/>
                    <a:ln w="28575">
                      <a:solidFill>
                        <a:schemeClr val="tx1"/>
                      </a:solidFill>
                      <a:miter lim="800000"/>
                      <a:headEnd/>
                      <a:tailEnd/>
                    </a:ln>
                  </pic:spPr>
                </pic:pic>
              </a:graphicData>
            </a:graphic>
          </wp:inline>
        </w:drawing>
      </w:r>
    </w:p>
    <w:p w:rsidR="00FA6DE5" w:rsidRPr="005B1A8D" w:rsidRDefault="00FA6DE5" w:rsidP="00FA6DE5">
      <w:pPr>
        <w:spacing w:line="240" w:lineRule="auto"/>
        <w:jc w:val="center"/>
        <w:rPr>
          <w:rFonts w:asciiTheme="majorBidi" w:hAnsiTheme="majorBidi" w:cstheme="majorBidi"/>
          <w:i/>
          <w:iCs/>
          <w:noProof/>
          <w:lang w:val="en-GB" w:eastAsia="en-GB"/>
        </w:rPr>
      </w:pPr>
      <w:r w:rsidRPr="005B1A8D">
        <w:rPr>
          <w:rFonts w:asciiTheme="majorBidi" w:hAnsiTheme="majorBidi" w:cstheme="majorBidi"/>
          <w:i/>
          <w:iCs/>
          <w:noProof/>
          <w:lang w:val="en-GB" w:eastAsia="en-GB"/>
        </w:rPr>
        <w:t>Fig. 29: Change in annual stream flow due to changes in precipitation and temperature under A2, A1B and B1 scenarios for CGCM3.1/T47, CNRM-CM3, GFDL-CM2.1, IPSLCM4, MIROC3.2 (medres) and MRI CGCM2.3.2 the periods 2046-2064 and 2080-2100 expressed as a percentage of streamflow in the base period 1980-2010.</w:t>
      </w:r>
    </w:p>
    <w:p w:rsidR="00FA6DE5" w:rsidRPr="005B1A8D" w:rsidRDefault="00FA6DE5" w:rsidP="00FA6DE5">
      <w:pPr>
        <w:spacing w:line="240" w:lineRule="auto"/>
        <w:rPr>
          <w:rFonts w:asciiTheme="majorBidi" w:hAnsiTheme="majorBidi" w:cstheme="majorBidi"/>
          <w:b/>
          <w:bCs/>
          <w:sz w:val="28"/>
          <w:szCs w:val="28"/>
          <w:lang w:eastAsia="en-GB"/>
        </w:rPr>
      </w:pPr>
      <w:r w:rsidRPr="005B1A8D">
        <w:rPr>
          <w:rFonts w:asciiTheme="majorBidi" w:hAnsiTheme="majorBidi" w:cstheme="majorBidi"/>
          <w:b/>
          <w:bCs/>
          <w:sz w:val="28"/>
          <w:szCs w:val="28"/>
          <w:lang w:eastAsia="en-GB"/>
        </w:rPr>
        <w:t xml:space="preserve">6. Climate Change Impacts on Al </w:t>
      </w:r>
      <w:proofErr w:type="spellStart"/>
      <w:r w:rsidRPr="005B1A8D">
        <w:rPr>
          <w:rFonts w:asciiTheme="majorBidi" w:hAnsiTheme="majorBidi" w:cstheme="majorBidi"/>
          <w:b/>
          <w:bCs/>
          <w:sz w:val="28"/>
          <w:szCs w:val="28"/>
          <w:lang w:eastAsia="en-GB"/>
        </w:rPr>
        <w:t>Udhaim</w:t>
      </w:r>
      <w:proofErr w:type="spellEnd"/>
      <w:r w:rsidRPr="005B1A8D">
        <w:rPr>
          <w:rFonts w:asciiTheme="majorBidi" w:hAnsiTheme="majorBidi" w:cstheme="majorBidi"/>
          <w:b/>
          <w:bCs/>
          <w:sz w:val="28"/>
          <w:szCs w:val="28"/>
          <w:lang w:eastAsia="en-GB"/>
        </w:rPr>
        <w:t xml:space="preserve"> River Basin</w:t>
      </w:r>
    </w:p>
    <w:p w:rsidR="00FA6DE5" w:rsidRPr="005B1A8D" w:rsidRDefault="00FA6DE5" w:rsidP="00FA6DE5">
      <w:pPr>
        <w:spacing w:line="240" w:lineRule="auto"/>
        <w:rPr>
          <w:rFonts w:asciiTheme="majorBidi" w:hAnsiTheme="majorBidi" w:cstheme="majorBidi"/>
          <w:sz w:val="28"/>
          <w:szCs w:val="28"/>
          <w:lang w:eastAsia="en-GB"/>
        </w:rPr>
      </w:pPr>
      <w:r w:rsidRPr="005B1A8D">
        <w:rPr>
          <w:rFonts w:asciiTheme="majorBidi" w:hAnsiTheme="majorBidi" w:cstheme="majorBidi"/>
          <w:sz w:val="28"/>
          <w:szCs w:val="28"/>
          <w:lang w:eastAsia="en-GB"/>
        </w:rPr>
        <w:t xml:space="preserve"> </w:t>
      </w:r>
      <w:r w:rsidRPr="005B1A8D">
        <w:rPr>
          <w:rFonts w:asciiTheme="majorBidi" w:hAnsiTheme="majorBidi" w:cstheme="majorBidi"/>
          <w:sz w:val="28"/>
          <w:szCs w:val="28"/>
          <w:lang w:eastAsia="en-GB"/>
        </w:rPr>
        <w:tab/>
        <w:t>Al-</w:t>
      </w:r>
      <w:proofErr w:type="spellStart"/>
      <w:r w:rsidRPr="005B1A8D">
        <w:rPr>
          <w:rFonts w:asciiTheme="majorBidi" w:hAnsiTheme="majorBidi" w:cstheme="majorBidi"/>
          <w:sz w:val="28"/>
          <w:szCs w:val="28"/>
          <w:lang w:eastAsia="en-GB"/>
        </w:rPr>
        <w:t>Udhaim</w:t>
      </w:r>
      <w:proofErr w:type="spellEnd"/>
      <w:r w:rsidRPr="005B1A8D">
        <w:rPr>
          <w:rFonts w:asciiTheme="majorBidi" w:hAnsiTheme="majorBidi" w:cstheme="majorBidi"/>
          <w:sz w:val="28"/>
          <w:szCs w:val="28"/>
          <w:lang w:eastAsia="en-GB"/>
        </w:rPr>
        <w:t xml:space="preserve"> River is located in northeast Iraq. It rises from hilly and mountainous areas and it drains about 13,000 km2 which lie totally in Iraq (Fig.30); the river is fed by rainfall only, therefore, the occurrence of effective flow is during the wet season only. Al-</w:t>
      </w:r>
      <w:proofErr w:type="spellStart"/>
      <w:r w:rsidRPr="005B1A8D">
        <w:rPr>
          <w:rFonts w:asciiTheme="majorBidi" w:hAnsiTheme="majorBidi" w:cstheme="majorBidi"/>
          <w:sz w:val="28"/>
          <w:szCs w:val="28"/>
          <w:lang w:eastAsia="en-GB"/>
        </w:rPr>
        <w:t>Udhaim</w:t>
      </w:r>
      <w:proofErr w:type="spellEnd"/>
      <w:r w:rsidRPr="005B1A8D">
        <w:rPr>
          <w:rFonts w:asciiTheme="majorBidi" w:hAnsiTheme="majorBidi" w:cstheme="majorBidi"/>
          <w:sz w:val="28"/>
          <w:szCs w:val="28"/>
          <w:lang w:eastAsia="en-GB"/>
        </w:rPr>
        <w:t xml:space="preserve"> generates about 0.79 cubic billion meters annually and it meets the Tigris River at approximately 13 km downstream of </w:t>
      </w:r>
      <w:proofErr w:type="spellStart"/>
      <w:r w:rsidRPr="005B1A8D">
        <w:rPr>
          <w:rFonts w:asciiTheme="majorBidi" w:hAnsiTheme="majorBidi" w:cstheme="majorBidi"/>
          <w:sz w:val="28"/>
          <w:szCs w:val="28"/>
          <w:lang w:eastAsia="en-GB"/>
        </w:rPr>
        <w:t>Balad</w:t>
      </w:r>
      <w:proofErr w:type="spellEnd"/>
      <w:r w:rsidRPr="005B1A8D">
        <w:rPr>
          <w:rFonts w:asciiTheme="majorBidi" w:hAnsiTheme="majorBidi" w:cstheme="majorBidi"/>
          <w:sz w:val="28"/>
          <w:szCs w:val="28"/>
          <w:lang w:eastAsia="en-GB"/>
        </w:rPr>
        <w:t xml:space="preserve"> city. The length of the river from the source to the confluence is 230 km. The annual precipitation for the Al-</w:t>
      </w:r>
      <w:proofErr w:type="spellStart"/>
      <w:r w:rsidRPr="005B1A8D">
        <w:rPr>
          <w:rFonts w:asciiTheme="majorBidi" w:hAnsiTheme="majorBidi" w:cstheme="majorBidi"/>
          <w:sz w:val="28"/>
          <w:szCs w:val="28"/>
          <w:lang w:eastAsia="en-GB"/>
        </w:rPr>
        <w:t>Udhaim</w:t>
      </w:r>
      <w:proofErr w:type="spellEnd"/>
      <w:r w:rsidRPr="005B1A8D">
        <w:rPr>
          <w:rFonts w:asciiTheme="majorBidi" w:hAnsiTheme="majorBidi" w:cstheme="majorBidi"/>
          <w:sz w:val="28"/>
          <w:szCs w:val="28"/>
          <w:lang w:eastAsia="en-GB"/>
        </w:rPr>
        <w:t xml:space="preserve"> basin ranges from 80 to 330 mm, and temperatures vary over the basin between 2˚C and 48˚C.  This river runs dry in summer from May to October and high flow occurs during November to May. Accordingly, Al-</w:t>
      </w:r>
      <w:proofErr w:type="spellStart"/>
      <w:r w:rsidRPr="005B1A8D">
        <w:rPr>
          <w:rFonts w:asciiTheme="majorBidi" w:hAnsiTheme="majorBidi" w:cstheme="majorBidi"/>
          <w:sz w:val="28"/>
          <w:szCs w:val="28"/>
          <w:lang w:eastAsia="en-GB"/>
        </w:rPr>
        <w:t>Udhaim</w:t>
      </w:r>
      <w:proofErr w:type="spellEnd"/>
      <w:r w:rsidRPr="005B1A8D">
        <w:rPr>
          <w:rFonts w:asciiTheme="majorBidi" w:hAnsiTheme="majorBidi" w:cstheme="majorBidi"/>
          <w:sz w:val="28"/>
          <w:szCs w:val="28"/>
          <w:lang w:eastAsia="en-GB"/>
        </w:rPr>
        <w:t xml:space="preserve"> catchment can be classified as an arid basin. Approximately 7.1% of the basin is covered by forest, and 29% by Agricultural Land-Row. There is one main storage dam on the main </w:t>
      </w:r>
      <w:r w:rsidRPr="005B1A8D">
        <w:rPr>
          <w:rFonts w:asciiTheme="majorBidi" w:hAnsiTheme="majorBidi" w:cstheme="majorBidi"/>
          <w:sz w:val="28"/>
          <w:szCs w:val="28"/>
          <w:lang w:eastAsia="en-GB"/>
        </w:rPr>
        <w:lastRenderedPageBreak/>
        <w:t xml:space="preserve">course of the river with low diversion weir just downstream of it; Al </w:t>
      </w:r>
      <w:proofErr w:type="spellStart"/>
      <w:r w:rsidRPr="005B1A8D">
        <w:rPr>
          <w:rFonts w:asciiTheme="majorBidi" w:hAnsiTheme="majorBidi" w:cstheme="majorBidi"/>
          <w:sz w:val="28"/>
          <w:szCs w:val="28"/>
          <w:lang w:eastAsia="en-GB"/>
        </w:rPr>
        <w:t>Dhuloiya</w:t>
      </w:r>
      <w:proofErr w:type="spellEnd"/>
      <w:r w:rsidRPr="005B1A8D">
        <w:rPr>
          <w:rFonts w:asciiTheme="majorBidi" w:hAnsiTheme="majorBidi" w:cstheme="majorBidi"/>
          <w:sz w:val="28"/>
          <w:szCs w:val="28"/>
          <w:lang w:eastAsia="en-GB"/>
        </w:rPr>
        <w:t xml:space="preserve"> Weir, and another storage dam on its tributary </w:t>
      </w:r>
      <w:proofErr w:type="spellStart"/>
      <w:r w:rsidRPr="005B1A8D">
        <w:rPr>
          <w:rFonts w:asciiTheme="majorBidi" w:hAnsiTheme="majorBidi" w:cstheme="majorBidi"/>
          <w:sz w:val="28"/>
          <w:szCs w:val="28"/>
          <w:lang w:eastAsia="en-GB"/>
        </w:rPr>
        <w:t>Khasa</w:t>
      </w:r>
      <w:proofErr w:type="spellEnd"/>
      <w:r w:rsidRPr="005B1A8D">
        <w:rPr>
          <w:rFonts w:asciiTheme="majorBidi" w:hAnsiTheme="majorBidi" w:cstheme="majorBidi"/>
          <w:sz w:val="28"/>
          <w:szCs w:val="28"/>
          <w:lang w:eastAsia="en-GB"/>
        </w:rPr>
        <w:t xml:space="preserve"> Chi.    </w:t>
      </w:r>
    </w:p>
    <w:p w:rsidR="00FA6DE5" w:rsidRPr="005B1A8D" w:rsidRDefault="00FA6DE5" w:rsidP="00FA6DE5">
      <w:pPr>
        <w:spacing w:line="240" w:lineRule="auto"/>
        <w:jc w:val="center"/>
        <w:rPr>
          <w:rFonts w:asciiTheme="majorBidi" w:hAnsiTheme="majorBidi" w:cstheme="majorBidi"/>
          <w:sz w:val="28"/>
          <w:szCs w:val="28"/>
          <w:lang w:eastAsia="en-GB"/>
        </w:rPr>
      </w:pPr>
      <w:r w:rsidRPr="005B1A8D">
        <w:rPr>
          <w:rFonts w:asciiTheme="majorBidi" w:hAnsiTheme="majorBidi" w:cstheme="majorBidi"/>
          <w:noProof/>
          <w:sz w:val="28"/>
          <w:szCs w:val="28"/>
          <w:lang w:eastAsia="en-US"/>
        </w:rPr>
        <w:drawing>
          <wp:inline distT="0" distB="0" distL="0" distR="0" wp14:anchorId="5BDFE939" wp14:editId="38030979">
            <wp:extent cx="3213100" cy="3984400"/>
            <wp:effectExtent l="38100" t="38100" r="44450" b="35560"/>
            <wp:docPr id="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5305858" name="Picture 1"/>
                    <pic:cNvPicPr>
                      <a:picLocks noChangeAspect="1" noChangeArrowheads="1"/>
                    </pic:cNvPicPr>
                  </pic:nvPicPr>
                  <pic:blipFill>
                    <a:blip r:embed="rId40" cstate="print"/>
                    <a:stretch>
                      <a:fillRect/>
                    </a:stretch>
                  </pic:blipFill>
                  <pic:spPr bwMode="auto">
                    <a:xfrm>
                      <a:off x="0" y="0"/>
                      <a:ext cx="3253413" cy="4034390"/>
                    </a:xfrm>
                    <a:prstGeom prst="rect">
                      <a:avLst/>
                    </a:prstGeom>
                    <a:noFill/>
                    <a:ln w="28575">
                      <a:solidFill>
                        <a:schemeClr val="tx1"/>
                      </a:solidFill>
                      <a:miter lim="800000"/>
                      <a:headEnd/>
                      <a:tailEnd/>
                    </a:ln>
                  </pic:spPr>
                </pic:pic>
              </a:graphicData>
            </a:graphic>
          </wp:inline>
        </w:drawing>
      </w:r>
    </w:p>
    <w:p w:rsidR="00FA6DE5" w:rsidRPr="00FA6DE5" w:rsidRDefault="00FA6DE5" w:rsidP="00FA6DE5">
      <w:pPr>
        <w:spacing w:line="240" w:lineRule="auto"/>
        <w:ind w:firstLine="1304"/>
        <w:rPr>
          <w:rFonts w:asciiTheme="majorBidi" w:hAnsiTheme="majorBidi" w:cstheme="majorBidi"/>
          <w:sz w:val="28"/>
          <w:szCs w:val="28"/>
          <w:lang w:eastAsia="en-GB"/>
        </w:rPr>
      </w:pPr>
      <w:r w:rsidRPr="00FA6DE5">
        <w:rPr>
          <w:rFonts w:asciiTheme="majorBidi" w:hAnsiTheme="majorBidi" w:cstheme="majorBidi"/>
          <w:sz w:val="28"/>
          <w:szCs w:val="28"/>
          <w:lang w:eastAsia="en-GB"/>
        </w:rPr>
        <w:t>Fig. 30: Location of Al-</w:t>
      </w:r>
      <w:proofErr w:type="spellStart"/>
      <w:r w:rsidRPr="00FA6DE5">
        <w:rPr>
          <w:rFonts w:asciiTheme="majorBidi" w:hAnsiTheme="majorBidi" w:cstheme="majorBidi"/>
          <w:sz w:val="28"/>
          <w:szCs w:val="28"/>
          <w:lang w:eastAsia="en-GB"/>
        </w:rPr>
        <w:t>Udhaim</w:t>
      </w:r>
      <w:proofErr w:type="spellEnd"/>
      <w:r w:rsidRPr="00FA6DE5">
        <w:rPr>
          <w:rFonts w:asciiTheme="majorBidi" w:hAnsiTheme="majorBidi" w:cstheme="majorBidi"/>
          <w:sz w:val="28"/>
          <w:szCs w:val="28"/>
          <w:lang w:eastAsia="en-GB"/>
        </w:rPr>
        <w:t xml:space="preserve"> basin.</w:t>
      </w:r>
    </w:p>
    <w:p w:rsidR="00FA6DE5" w:rsidRDefault="00FA6DE5" w:rsidP="00FA6DE5">
      <w:pPr>
        <w:spacing w:line="240" w:lineRule="auto"/>
        <w:ind w:firstLine="1304"/>
        <w:rPr>
          <w:rFonts w:asciiTheme="majorBidi" w:hAnsiTheme="majorBidi" w:cstheme="majorBidi"/>
          <w:sz w:val="28"/>
          <w:szCs w:val="28"/>
          <w:lang w:eastAsia="en-GB"/>
        </w:rPr>
      </w:pPr>
    </w:p>
    <w:p w:rsidR="00FA6DE5" w:rsidRDefault="00FA6DE5" w:rsidP="00FA6DE5">
      <w:pPr>
        <w:spacing w:line="240" w:lineRule="auto"/>
        <w:ind w:firstLine="1304"/>
        <w:rPr>
          <w:rFonts w:asciiTheme="majorBidi" w:hAnsiTheme="majorBidi" w:cstheme="majorBidi"/>
          <w:sz w:val="28"/>
          <w:szCs w:val="28"/>
          <w:lang w:eastAsia="en-GB"/>
        </w:rPr>
      </w:pPr>
      <w:r w:rsidRPr="005B1A8D">
        <w:rPr>
          <w:rFonts w:asciiTheme="majorBidi" w:hAnsiTheme="majorBidi" w:cstheme="majorBidi"/>
          <w:sz w:val="28"/>
          <w:szCs w:val="28"/>
          <w:lang w:eastAsia="en-GB"/>
        </w:rPr>
        <w:t xml:space="preserve">The Climate Change future impact on this basin was also analyzed by </w:t>
      </w:r>
      <w:r w:rsidRPr="005B1A8D">
        <w:rPr>
          <w:rFonts w:asciiTheme="majorBidi" w:hAnsiTheme="majorBidi" w:cstheme="majorBidi"/>
          <w:sz w:val="28"/>
          <w:szCs w:val="28"/>
        </w:rPr>
        <w:t>[45]</w:t>
      </w:r>
      <w:r w:rsidRPr="005B1A8D">
        <w:rPr>
          <w:rFonts w:asciiTheme="majorBidi" w:hAnsiTheme="majorBidi" w:cstheme="majorBidi"/>
          <w:sz w:val="28"/>
          <w:szCs w:val="28"/>
          <w:lang w:eastAsia="en-GB"/>
        </w:rPr>
        <w:t xml:space="preserve">.  The same GCMs as in the previous basins were used in this analysis under the three emission scenarios namely A2, AIB, B1for two future periods (2046-2064) and (2080-2100). The projected temperatures and precipitation values were used as input to the SWAT model to compare with baseline period (1980-2010). The model was calibrated for </w:t>
      </w:r>
      <w:proofErr w:type="spellStart"/>
      <w:r w:rsidRPr="005B1A8D">
        <w:rPr>
          <w:rFonts w:asciiTheme="majorBidi" w:hAnsiTheme="majorBidi" w:cstheme="majorBidi"/>
          <w:sz w:val="28"/>
          <w:szCs w:val="28"/>
          <w:lang w:eastAsia="en-GB"/>
        </w:rPr>
        <w:t>Injana</w:t>
      </w:r>
      <w:proofErr w:type="spellEnd"/>
      <w:r w:rsidRPr="005B1A8D">
        <w:rPr>
          <w:rFonts w:asciiTheme="majorBidi" w:hAnsiTheme="majorBidi" w:cstheme="majorBidi"/>
          <w:sz w:val="28"/>
          <w:szCs w:val="28"/>
          <w:lang w:eastAsia="en-GB"/>
        </w:rPr>
        <w:t xml:space="preserve"> discharge measuring station, the sole station in the basin, for thirteen years (1979-1991) and it was validated for the same station for six years (1992-1997). The final projected changes in mean annual temperature for two future periods (2046-2064) and (2080-2100) relative to base period (1980-2010) are shown in the table (10). These results were used in the model to obtain the projected values of precipitation and the stream flow (blue water) over the basin. The results </w:t>
      </w:r>
      <w:r w:rsidRPr="005B1A8D">
        <w:rPr>
          <w:rFonts w:asciiTheme="majorBidi" w:hAnsiTheme="majorBidi" w:cstheme="majorBidi"/>
          <w:sz w:val="28"/>
          <w:szCs w:val="28"/>
          <w:lang w:eastAsia="en-GB"/>
        </w:rPr>
        <w:lastRenderedPageBreak/>
        <w:t>are given in tables 11 and 12.</w:t>
      </w:r>
    </w:p>
    <w:p w:rsidR="00FA6DE5" w:rsidRPr="00FA6DE5" w:rsidRDefault="00FA6DE5" w:rsidP="00FA6DE5">
      <w:pPr>
        <w:spacing w:line="240" w:lineRule="auto"/>
        <w:jc w:val="center"/>
        <w:rPr>
          <w:rFonts w:asciiTheme="majorBidi" w:hAnsiTheme="majorBidi" w:cstheme="majorBidi"/>
          <w:sz w:val="28"/>
          <w:szCs w:val="28"/>
          <w:lang w:eastAsia="en-GB"/>
        </w:rPr>
      </w:pPr>
      <w:r w:rsidRPr="00FA6DE5">
        <w:rPr>
          <w:rFonts w:asciiTheme="majorBidi" w:hAnsiTheme="majorBidi" w:cstheme="majorBidi"/>
          <w:sz w:val="28"/>
          <w:szCs w:val="28"/>
          <w:lang w:eastAsia="en-GB"/>
        </w:rPr>
        <w:t>Table 10: GCM predicted changes in the mean annual temperature of the future under A2, A1B and B1 scenarios.</w:t>
      </w:r>
    </w:p>
    <w:p w:rsidR="00FA6DE5" w:rsidRPr="005B1A8D" w:rsidRDefault="00FA6DE5" w:rsidP="00FA6DE5">
      <w:pPr>
        <w:spacing w:line="240" w:lineRule="auto"/>
        <w:jc w:val="center"/>
        <w:rPr>
          <w:rFonts w:asciiTheme="majorBidi" w:hAnsiTheme="majorBidi" w:cstheme="majorBidi"/>
          <w:sz w:val="28"/>
          <w:szCs w:val="28"/>
          <w:lang w:eastAsia="en-GB"/>
        </w:rPr>
      </w:pPr>
      <w:r w:rsidRPr="005B1A8D">
        <w:rPr>
          <w:rFonts w:asciiTheme="majorBidi" w:hAnsiTheme="majorBidi" w:cstheme="majorBidi"/>
          <w:b/>
          <w:bCs/>
          <w:noProof/>
          <w:sz w:val="28"/>
          <w:szCs w:val="28"/>
          <w:rtl/>
          <w:lang w:eastAsia="en-US"/>
        </w:rPr>
        <w:drawing>
          <wp:inline distT="0" distB="0" distL="0" distR="0" wp14:anchorId="678F31A9" wp14:editId="7B70FDE7">
            <wp:extent cx="3437708" cy="1697143"/>
            <wp:effectExtent l="38100" t="38100" r="29845" b="36830"/>
            <wp:docPr id="38" name="Picture 2" descr="C:\Users\HP-PC\Downloads\Assessment of Climate Change Impacts on Water Resources of  Al-Adhaim, Iraq Using SWAT Model -10-10-p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6704842" name="Picture 2" descr="C:\Users\HP-PC\Downloads\Assessment of Climate Change Impacts on Water Resources of  Al-Adhaim, Iraq Using SWAT Model -10-10-page-001.jpg"/>
                    <pic:cNvPicPr>
                      <a:picLocks noChangeAspect="1" noChangeArrowheads="1"/>
                    </pic:cNvPicPr>
                  </pic:nvPicPr>
                  <pic:blipFill>
                    <a:blip r:embed="rId41" cstate="print"/>
                    <a:srcRect t="4647"/>
                    <a:stretch>
                      <a:fillRect/>
                    </a:stretch>
                  </pic:blipFill>
                  <pic:spPr bwMode="auto">
                    <a:xfrm>
                      <a:off x="0" y="0"/>
                      <a:ext cx="3463387" cy="1709820"/>
                    </a:xfrm>
                    <a:prstGeom prst="rect">
                      <a:avLst/>
                    </a:prstGeom>
                    <a:noFill/>
                    <a:ln w="28575">
                      <a:solidFill>
                        <a:schemeClr val="tx1"/>
                      </a:solidFill>
                      <a:miter lim="800000"/>
                      <a:headEnd/>
                      <a:tailEnd/>
                    </a:ln>
                  </pic:spPr>
                </pic:pic>
              </a:graphicData>
            </a:graphic>
          </wp:inline>
        </w:drawing>
      </w:r>
    </w:p>
    <w:p w:rsidR="00FA6DE5" w:rsidRPr="005B1A8D" w:rsidRDefault="00FA6DE5" w:rsidP="00FA6DE5">
      <w:pPr>
        <w:spacing w:line="240" w:lineRule="auto"/>
        <w:ind w:firstLine="1304"/>
        <w:rPr>
          <w:rFonts w:asciiTheme="majorBidi" w:hAnsiTheme="majorBidi" w:cstheme="majorBidi"/>
          <w:sz w:val="28"/>
          <w:szCs w:val="28"/>
          <w:lang w:eastAsia="en-GB"/>
        </w:rPr>
      </w:pPr>
      <w:r w:rsidRPr="005B1A8D">
        <w:rPr>
          <w:rFonts w:asciiTheme="majorBidi" w:hAnsiTheme="majorBidi" w:cstheme="majorBidi"/>
          <w:sz w:val="28"/>
          <w:szCs w:val="28"/>
          <w:lang w:eastAsia="en-GB"/>
        </w:rPr>
        <w:t>Table (11) gives the percent deviation of precipitation from historic data (1989-2010) under A2, AIB, B1 emission scenarios for the periods (2046-2064) and (2080-2100). These projections are obtained over the basin for the average multi-GCMs used. Table (12), summarizes the percentage decreases in blue water (stream flow) over the basin from historic data, (1980-2010) under A2, A1B and B1 scenarios for the periods (2046-2064) and (2080-2100) and using the average change of multi-GCM ensemble used. The half-century projection (2046-2064)</w:t>
      </w:r>
    </w:p>
    <w:p w:rsidR="00FA6DE5" w:rsidRPr="005B1A8D" w:rsidRDefault="00FA6DE5" w:rsidP="00FA6DE5">
      <w:pPr>
        <w:spacing w:line="240" w:lineRule="auto"/>
        <w:rPr>
          <w:rFonts w:asciiTheme="majorBidi" w:hAnsiTheme="majorBidi" w:cstheme="majorBidi"/>
          <w:sz w:val="28"/>
          <w:szCs w:val="28"/>
          <w:rtl/>
          <w:lang w:eastAsia="en-GB"/>
        </w:rPr>
      </w:pPr>
    </w:p>
    <w:p w:rsidR="00FA6DE5" w:rsidRDefault="00FA6DE5" w:rsidP="00FA6DE5">
      <w:pPr>
        <w:spacing w:line="240" w:lineRule="auto"/>
        <w:jc w:val="center"/>
        <w:rPr>
          <w:rFonts w:asciiTheme="majorBidi" w:hAnsiTheme="majorBidi" w:cstheme="majorBidi"/>
          <w:sz w:val="28"/>
          <w:szCs w:val="28"/>
          <w:lang w:eastAsia="en-GB"/>
        </w:rPr>
      </w:pPr>
      <w:r w:rsidRPr="00FA6DE5">
        <w:rPr>
          <w:rFonts w:asciiTheme="majorBidi" w:hAnsiTheme="majorBidi" w:cstheme="majorBidi"/>
          <w:sz w:val="28"/>
          <w:szCs w:val="28"/>
          <w:lang w:eastAsia="en-GB"/>
        </w:rPr>
        <w:t>Table 11: Projected reductions of perception over the basin for the future periods (%).</w:t>
      </w:r>
    </w:p>
    <w:p w:rsidR="00FA6DE5" w:rsidRPr="00FA6DE5" w:rsidRDefault="00FA6DE5" w:rsidP="00FA6DE5">
      <w:pPr>
        <w:spacing w:line="240" w:lineRule="auto"/>
        <w:jc w:val="center"/>
        <w:rPr>
          <w:rFonts w:asciiTheme="majorBidi" w:hAnsiTheme="majorBidi" w:cstheme="majorBidi"/>
          <w:sz w:val="28"/>
          <w:szCs w:val="28"/>
          <w:lang w:eastAsia="en-GB"/>
        </w:rPr>
      </w:pPr>
    </w:p>
    <w:tbl>
      <w:tblPr>
        <w:tblStyle w:val="TableGrid"/>
        <w:bidiVisual/>
        <w:tblW w:w="4860" w:type="dxa"/>
        <w:tblInd w:w="1511" w:type="dxa"/>
        <w:tblLook w:val="04A0" w:firstRow="1" w:lastRow="0" w:firstColumn="1" w:lastColumn="0" w:noHBand="0" w:noVBand="1"/>
      </w:tblPr>
      <w:tblGrid>
        <w:gridCol w:w="1211"/>
        <w:gridCol w:w="633"/>
        <w:gridCol w:w="1396"/>
        <w:gridCol w:w="1620"/>
      </w:tblGrid>
      <w:tr w:rsidR="00FA6DE5" w:rsidRPr="005B1A8D" w:rsidTr="00FA6DE5">
        <w:trPr>
          <w:trHeight w:val="156"/>
        </w:trPr>
        <w:tc>
          <w:tcPr>
            <w:tcW w:w="3240" w:type="dxa"/>
            <w:gridSpan w:val="3"/>
            <w:tcBorders>
              <w:top w:val="single" w:sz="18" w:space="0" w:color="auto"/>
              <w:left w:val="single" w:sz="18" w:space="0" w:color="auto"/>
              <w:bottom w:val="single" w:sz="18" w:space="0" w:color="auto"/>
              <w:right w:val="single" w:sz="18" w:space="0" w:color="auto"/>
            </w:tcBorders>
          </w:tcPr>
          <w:p w:rsidR="00FA6DE5" w:rsidRPr="005B1A8D" w:rsidRDefault="00FA6DE5" w:rsidP="003D04DC">
            <w:pPr>
              <w:bidi/>
              <w:jc w:val="center"/>
              <w:rPr>
                <w:rFonts w:asciiTheme="majorBidi" w:hAnsiTheme="majorBidi" w:cstheme="majorBidi"/>
                <w:szCs w:val="24"/>
                <w:rtl/>
              </w:rPr>
            </w:pPr>
            <w:r w:rsidRPr="005B1A8D">
              <w:rPr>
                <w:rFonts w:asciiTheme="majorBidi" w:hAnsiTheme="majorBidi" w:cstheme="majorBidi"/>
                <w:szCs w:val="24"/>
              </w:rPr>
              <w:t>Emission Scenarios</w:t>
            </w:r>
          </w:p>
        </w:tc>
        <w:tc>
          <w:tcPr>
            <w:tcW w:w="1620" w:type="dxa"/>
            <w:vMerge w:val="restart"/>
            <w:tcBorders>
              <w:top w:val="single" w:sz="18" w:space="0" w:color="auto"/>
              <w:left w:val="single" w:sz="18" w:space="0" w:color="auto"/>
              <w:bottom w:val="single" w:sz="18" w:space="0" w:color="auto"/>
              <w:right w:val="single" w:sz="18" w:space="0" w:color="auto"/>
            </w:tcBorders>
          </w:tcPr>
          <w:p w:rsidR="00FA6DE5" w:rsidRPr="005B1A8D" w:rsidRDefault="00FA6DE5" w:rsidP="003D04DC">
            <w:pPr>
              <w:bidi/>
              <w:jc w:val="center"/>
              <w:rPr>
                <w:rFonts w:asciiTheme="majorBidi" w:hAnsiTheme="majorBidi" w:cstheme="majorBidi"/>
                <w:szCs w:val="24"/>
              </w:rPr>
            </w:pPr>
            <w:r w:rsidRPr="005B1A8D">
              <w:rPr>
                <w:rFonts w:asciiTheme="majorBidi" w:hAnsiTheme="majorBidi" w:cstheme="majorBidi"/>
                <w:szCs w:val="24"/>
              </w:rPr>
              <w:t>Period</w:t>
            </w:r>
          </w:p>
        </w:tc>
      </w:tr>
      <w:tr w:rsidR="00FA6DE5" w:rsidRPr="005B1A8D" w:rsidTr="00FA6DE5">
        <w:trPr>
          <w:trHeight w:val="298"/>
        </w:trPr>
        <w:tc>
          <w:tcPr>
            <w:tcW w:w="1211" w:type="dxa"/>
            <w:tcBorders>
              <w:top w:val="single" w:sz="18" w:space="0" w:color="auto"/>
              <w:left w:val="single" w:sz="18" w:space="0" w:color="auto"/>
              <w:bottom w:val="single" w:sz="18" w:space="0" w:color="auto"/>
              <w:right w:val="single" w:sz="18" w:space="0" w:color="auto"/>
            </w:tcBorders>
          </w:tcPr>
          <w:p w:rsidR="00FA6DE5" w:rsidRPr="005B1A8D" w:rsidRDefault="00FA6DE5" w:rsidP="003D04DC">
            <w:pPr>
              <w:bidi/>
              <w:jc w:val="center"/>
              <w:rPr>
                <w:rFonts w:asciiTheme="majorBidi" w:hAnsiTheme="majorBidi" w:cstheme="majorBidi"/>
                <w:szCs w:val="24"/>
              </w:rPr>
            </w:pPr>
            <w:r w:rsidRPr="005B1A8D">
              <w:rPr>
                <w:rFonts w:asciiTheme="majorBidi" w:hAnsiTheme="majorBidi" w:cstheme="majorBidi"/>
                <w:szCs w:val="24"/>
              </w:rPr>
              <w:t>B1</w:t>
            </w:r>
          </w:p>
        </w:tc>
        <w:tc>
          <w:tcPr>
            <w:tcW w:w="0" w:type="auto"/>
            <w:tcBorders>
              <w:top w:val="single" w:sz="18" w:space="0" w:color="auto"/>
              <w:left w:val="single" w:sz="18" w:space="0" w:color="auto"/>
              <w:bottom w:val="single" w:sz="18" w:space="0" w:color="auto"/>
              <w:right w:val="single" w:sz="18" w:space="0" w:color="auto"/>
            </w:tcBorders>
          </w:tcPr>
          <w:p w:rsidR="00FA6DE5" w:rsidRPr="005B1A8D" w:rsidRDefault="00FA6DE5" w:rsidP="003D04DC">
            <w:pPr>
              <w:bidi/>
              <w:jc w:val="center"/>
              <w:rPr>
                <w:rFonts w:asciiTheme="majorBidi" w:hAnsiTheme="majorBidi" w:cstheme="majorBidi"/>
                <w:szCs w:val="24"/>
              </w:rPr>
            </w:pPr>
            <w:r w:rsidRPr="005B1A8D">
              <w:rPr>
                <w:rFonts w:asciiTheme="majorBidi" w:hAnsiTheme="majorBidi" w:cstheme="majorBidi"/>
                <w:szCs w:val="24"/>
              </w:rPr>
              <w:t>AIB</w:t>
            </w:r>
          </w:p>
        </w:tc>
        <w:tc>
          <w:tcPr>
            <w:tcW w:w="1396" w:type="dxa"/>
            <w:tcBorders>
              <w:top w:val="single" w:sz="18" w:space="0" w:color="auto"/>
              <w:left w:val="single" w:sz="18" w:space="0" w:color="auto"/>
              <w:bottom w:val="single" w:sz="18" w:space="0" w:color="auto"/>
              <w:right w:val="single" w:sz="18" w:space="0" w:color="auto"/>
            </w:tcBorders>
          </w:tcPr>
          <w:p w:rsidR="00FA6DE5" w:rsidRPr="005B1A8D" w:rsidRDefault="00FA6DE5" w:rsidP="003D04DC">
            <w:pPr>
              <w:bidi/>
              <w:jc w:val="center"/>
              <w:rPr>
                <w:rFonts w:asciiTheme="majorBidi" w:hAnsiTheme="majorBidi" w:cstheme="majorBidi"/>
                <w:szCs w:val="24"/>
              </w:rPr>
            </w:pPr>
            <w:r w:rsidRPr="005B1A8D">
              <w:rPr>
                <w:rFonts w:asciiTheme="majorBidi" w:hAnsiTheme="majorBidi" w:cstheme="majorBidi"/>
                <w:szCs w:val="24"/>
              </w:rPr>
              <w:t>A2</w:t>
            </w:r>
          </w:p>
        </w:tc>
        <w:tc>
          <w:tcPr>
            <w:tcW w:w="1620" w:type="dxa"/>
            <w:vMerge/>
            <w:tcBorders>
              <w:top w:val="single" w:sz="18" w:space="0" w:color="auto"/>
              <w:left w:val="single" w:sz="18" w:space="0" w:color="auto"/>
              <w:bottom w:val="single" w:sz="18" w:space="0" w:color="auto"/>
              <w:right w:val="single" w:sz="18" w:space="0" w:color="auto"/>
            </w:tcBorders>
          </w:tcPr>
          <w:p w:rsidR="00FA6DE5" w:rsidRPr="005B1A8D" w:rsidRDefault="00FA6DE5" w:rsidP="003D04DC">
            <w:pPr>
              <w:bidi/>
              <w:jc w:val="center"/>
              <w:rPr>
                <w:rFonts w:asciiTheme="majorBidi" w:hAnsiTheme="majorBidi" w:cstheme="majorBidi"/>
                <w:szCs w:val="24"/>
              </w:rPr>
            </w:pPr>
          </w:p>
        </w:tc>
      </w:tr>
      <w:tr w:rsidR="00FA6DE5" w:rsidRPr="005B1A8D" w:rsidTr="00FA6DE5">
        <w:trPr>
          <w:trHeight w:val="298"/>
        </w:trPr>
        <w:tc>
          <w:tcPr>
            <w:tcW w:w="1211" w:type="dxa"/>
            <w:tcBorders>
              <w:top w:val="single" w:sz="18" w:space="0" w:color="auto"/>
              <w:left w:val="single" w:sz="18" w:space="0" w:color="auto"/>
              <w:bottom w:val="single" w:sz="18" w:space="0" w:color="auto"/>
              <w:right w:val="single" w:sz="18" w:space="0" w:color="auto"/>
            </w:tcBorders>
          </w:tcPr>
          <w:p w:rsidR="00FA6DE5" w:rsidRPr="005B1A8D" w:rsidRDefault="00FA6DE5" w:rsidP="003D04DC">
            <w:pPr>
              <w:bidi/>
              <w:jc w:val="center"/>
              <w:rPr>
                <w:rFonts w:asciiTheme="majorBidi" w:hAnsiTheme="majorBidi" w:cstheme="majorBidi"/>
                <w:szCs w:val="24"/>
                <w:rtl/>
              </w:rPr>
            </w:pPr>
            <w:r w:rsidRPr="005B1A8D">
              <w:rPr>
                <w:rFonts w:asciiTheme="majorBidi" w:hAnsiTheme="majorBidi" w:cstheme="majorBidi"/>
                <w:szCs w:val="24"/>
              </w:rPr>
              <w:t>7</w:t>
            </w:r>
          </w:p>
        </w:tc>
        <w:tc>
          <w:tcPr>
            <w:tcW w:w="0" w:type="auto"/>
            <w:tcBorders>
              <w:top w:val="single" w:sz="18" w:space="0" w:color="auto"/>
              <w:left w:val="single" w:sz="18" w:space="0" w:color="auto"/>
              <w:bottom w:val="single" w:sz="18" w:space="0" w:color="auto"/>
              <w:right w:val="single" w:sz="18" w:space="0" w:color="auto"/>
            </w:tcBorders>
          </w:tcPr>
          <w:p w:rsidR="00FA6DE5" w:rsidRPr="005B1A8D" w:rsidRDefault="00FA6DE5" w:rsidP="003D04DC">
            <w:pPr>
              <w:bidi/>
              <w:jc w:val="center"/>
              <w:rPr>
                <w:rFonts w:asciiTheme="majorBidi" w:hAnsiTheme="majorBidi" w:cstheme="majorBidi"/>
                <w:szCs w:val="24"/>
                <w:rtl/>
              </w:rPr>
            </w:pPr>
            <w:r w:rsidRPr="005B1A8D">
              <w:rPr>
                <w:rFonts w:asciiTheme="majorBidi" w:hAnsiTheme="majorBidi" w:cstheme="majorBidi"/>
                <w:szCs w:val="24"/>
              </w:rPr>
              <w:t>14</w:t>
            </w:r>
          </w:p>
        </w:tc>
        <w:tc>
          <w:tcPr>
            <w:tcW w:w="1396" w:type="dxa"/>
            <w:tcBorders>
              <w:top w:val="single" w:sz="18" w:space="0" w:color="auto"/>
              <w:left w:val="single" w:sz="18" w:space="0" w:color="auto"/>
              <w:bottom w:val="single" w:sz="18" w:space="0" w:color="auto"/>
              <w:right w:val="single" w:sz="18" w:space="0" w:color="auto"/>
            </w:tcBorders>
          </w:tcPr>
          <w:p w:rsidR="00FA6DE5" w:rsidRPr="005B1A8D" w:rsidRDefault="00FA6DE5" w:rsidP="003D04DC">
            <w:pPr>
              <w:bidi/>
              <w:jc w:val="center"/>
              <w:rPr>
                <w:rFonts w:asciiTheme="majorBidi" w:hAnsiTheme="majorBidi" w:cstheme="majorBidi"/>
                <w:szCs w:val="24"/>
                <w:rtl/>
              </w:rPr>
            </w:pPr>
            <w:r w:rsidRPr="005B1A8D">
              <w:rPr>
                <w:rFonts w:asciiTheme="majorBidi" w:hAnsiTheme="majorBidi" w:cstheme="majorBidi"/>
                <w:szCs w:val="24"/>
              </w:rPr>
              <w:t>26</w:t>
            </w:r>
          </w:p>
        </w:tc>
        <w:tc>
          <w:tcPr>
            <w:tcW w:w="1620" w:type="dxa"/>
            <w:tcBorders>
              <w:top w:val="single" w:sz="18" w:space="0" w:color="auto"/>
              <w:left w:val="single" w:sz="18" w:space="0" w:color="auto"/>
              <w:bottom w:val="single" w:sz="18" w:space="0" w:color="auto"/>
              <w:right w:val="single" w:sz="18" w:space="0" w:color="auto"/>
            </w:tcBorders>
          </w:tcPr>
          <w:p w:rsidR="00FA6DE5" w:rsidRPr="005B1A8D" w:rsidRDefault="00FA6DE5" w:rsidP="003D04DC">
            <w:pPr>
              <w:bidi/>
              <w:jc w:val="center"/>
              <w:rPr>
                <w:rFonts w:asciiTheme="majorBidi" w:hAnsiTheme="majorBidi" w:cstheme="majorBidi"/>
                <w:szCs w:val="24"/>
              </w:rPr>
            </w:pPr>
            <w:r w:rsidRPr="005B1A8D">
              <w:rPr>
                <w:rFonts w:asciiTheme="majorBidi" w:hAnsiTheme="majorBidi" w:cstheme="majorBidi"/>
                <w:szCs w:val="24"/>
              </w:rPr>
              <w:t>2046-2064</w:t>
            </w:r>
          </w:p>
          <w:p w:rsidR="00FA6DE5" w:rsidRPr="005B1A8D" w:rsidRDefault="00FA6DE5" w:rsidP="003D04DC">
            <w:pPr>
              <w:bidi/>
              <w:jc w:val="center"/>
              <w:rPr>
                <w:rFonts w:asciiTheme="majorBidi" w:hAnsiTheme="majorBidi" w:cstheme="majorBidi"/>
                <w:szCs w:val="24"/>
                <w:rtl/>
              </w:rPr>
            </w:pPr>
          </w:p>
        </w:tc>
      </w:tr>
      <w:tr w:rsidR="00FA6DE5" w:rsidRPr="005B1A8D" w:rsidTr="00FA6DE5">
        <w:trPr>
          <w:trHeight w:val="313"/>
        </w:trPr>
        <w:tc>
          <w:tcPr>
            <w:tcW w:w="1211" w:type="dxa"/>
            <w:tcBorders>
              <w:top w:val="single" w:sz="18" w:space="0" w:color="auto"/>
              <w:left w:val="single" w:sz="18" w:space="0" w:color="auto"/>
              <w:bottom w:val="single" w:sz="18" w:space="0" w:color="auto"/>
              <w:right w:val="single" w:sz="18" w:space="0" w:color="auto"/>
            </w:tcBorders>
          </w:tcPr>
          <w:p w:rsidR="00FA6DE5" w:rsidRPr="005B1A8D" w:rsidRDefault="00FA6DE5" w:rsidP="003D04DC">
            <w:pPr>
              <w:bidi/>
              <w:jc w:val="center"/>
              <w:rPr>
                <w:rFonts w:asciiTheme="majorBidi" w:hAnsiTheme="majorBidi" w:cstheme="majorBidi"/>
                <w:szCs w:val="24"/>
                <w:rtl/>
              </w:rPr>
            </w:pPr>
            <w:r w:rsidRPr="005B1A8D">
              <w:rPr>
                <w:rFonts w:asciiTheme="majorBidi" w:hAnsiTheme="majorBidi" w:cstheme="majorBidi"/>
                <w:szCs w:val="24"/>
              </w:rPr>
              <w:t>16</w:t>
            </w:r>
          </w:p>
        </w:tc>
        <w:tc>
          <w:tcPr>
            <w:tcW w:w="0" w:type="auto"/>
            <w:tcBorders>
              <w:top w:val="single" w:sz="18" w:space="0" w:color="auto"/>
              <w:left w:val="single" w:sz="18" w:space="0" w:color="auto"/>
              <w:bottom w:val="single" w:sz="18" w:space="0" w:color="auto"/>
              <w:right w:val="single" w:sz="18" w:space="0" w:color="auto"/>
            </w:tcBorders>
          </w:tcPr>
          <w:p w:rsidR="00FA6DE5" w:rsidRPr="005B1A8D" w:rsidRDefault="00FA6DE5" w:rsidP="003D04DC">
            <w:pPr>
              <w:bidi/>
              <w:jc w:val="center"/>
              <w:rPr>
                <w:rFonts w:asciiTheme="majorBidi" w:hAnsiTheme="majorBidi" w:cstheme="majorBidi"/>
                <w:szCs w:val="24"/>
                <w:rtl/>
              </w:rPr>
            </w:pPr>
            <w:r w:rsidRPr="005B1A8D">
              <w:rPr>
                <w:rFonts w:asciiTheme="majorBidi" w:hAnsiTheme="majorBidi" w:cstheme="majorBidi"/>
                <w:szCs w:val="24"/>
              </w:rPr>
              <w:t>25</w:t>
            </w:r>
          </w:p>
        </w:tc>
        <w:tc>
          <w:tcPr>
            <w:tcW w:w="1396" w:type="dxa"/>
            <w:tcBorders>
              <w:top w:val="single" w:sz="18" w:space="0" w:color="auto"/>
              <w:left w:val="single" w:sz="18" w:space="0" w:color="auto"/>
              <w:bottom w:val="single" w:sz="18" w:space="0" w:color="auto"/>
              <w:right w:val="single" w:sz="18" w:space="0" w:color="auto"/>
            </w:tcBorders>
          </w:tcPr>
          <w:p w:rsidR="00FA6DE5" w:rsidRPr="005B1A8D" w:rsidRDefault="00FA6DE5" w:rsidP="003D04DC">
            <w:pPr>
              <w:bidi/>
              <w:jc w:val="center"/>
              <w:rPr>
                <w:rFonts w:asciiTheme="majorBidi" w:hAnsiTheme="majorBidi" w:cstheme="majorBidi"/>
                <w:szCs w:val="24"/>
                <w:rtl/>
              </w:rPr>
            </w:pPr>
            <w:r w:rsidRPr="005B1A8D">
              <w:rPr>
                <w:rFonts w:asciiTheme="majorBidi" w:hAnsiTheme="majorBidi" w:cstheme="majorBidi"/>
                <w:szCs w:val="24"/>
              </w:rPr>
              <w:t>37</w:t>
            </w:r>
          </w:p>
        </w:tc>
        <w:tc>
          <w:tcPr>
            <w:tcW w:w="1620" w:type="dxa"/>
            <w:tcBorders>
              <w:top w:val="single" w:sz="18" w:space="0" w:color="auto"/>
              <w:left w:val="single" w:sz="18" w:space="0" w:color="auto"/>
              <w:bottom w:val="single" w:sz="18" w:space="0" w:color="auto"/>
              <w:right w:val="single" w:sz="18" w:space="0" w:color="auto"/>
            </w:tcBorders>
          </w:tcPr>
          <w:p w:rsidR="00FA6DE5" w:rsidRPr="005B1A8D" w:rsidRDefault="00FA6DE5" w:rsidP="003D04DC">
            <w:pPr>
              <w:bidi/>
              <w:jc w:val="center"/>
              <w:rPr>
                <w:rFonts w:asciiTheme="majorBidi" w:hAnsiTheme="majorBidi" w:cstheme="majorBidi"/>
                <w:szCs w:val="24"/>
              </w:rPr>
            </w:pPr>
            <w:r w:rsidRPr="005B1A8D">
              <w:rPr>
                <w:rFonts w:asciiTheme="majorBidi" w:hAnsiTheme="majorBidi" w:cstheme="majorBidi"/>
                <w:szCs w:val="24"/>
              </w:rPr>
              <w:t>2080-2100</w:t>
            </w:r>
          </w:p>
          <w:p w:rsidR="00FA6DE5" w:rsidRPr="005B1A8D" w:rsidRDefault="00FA6DE5" w:rsidP="003D04DC">
            <w:pPr>
              <w:bidi/>
              <w:jc w:val="center"/>
              <w:rPr>
                <w:rFonts w:asciiTheme="majorBidi" w:hAnsiTheme="majorBidi" w:cstheme="majorBidi"/>
                <w:szCs w:val="24"/>
                <w:rtl/>
              </w:rPr>
            </w:pPr>
          </w:p>
        </w:tc>
      </w:tr>
    </w:tbl>
    <w:p w:rsidR="00FA6DE5" w:rsidRDefault="00FA6DE5" w:rsidP="00FA6DE5">
      <w:pPr>
        <w:spacing w:line="240" w:lineRule="auto"/>
        <w:jc w:val="center"/>
        <w:rPr>
          <w:rFonts w:asciiTheme="majorBidi" w:hAnsiTheme="majorBidi" w:cstheme="majorBidi"/>
          <w:sz w:val="28"/>
          <w:szCs w:val="28"/>
          <w:lang w:eastAsia="en-GB"/>
        </w:rPr>
      </w:pPr>
    </w:p>
    <w:p w:rsidR="00FA6DE5" w:rsidRPr="00FA6DE5" w:rsidRDefault="00FA6DE5" w:rsidP="00FA6DE5">
      <w:pPr>
        <w:spacing w:line="240" w:lineRule="auto"/>
        <w:jc w:val="center"/>
        <w:rPr>
          <w:rFonts w:asciiTheme="majorBidi" w:hAnsiTheme="majorBidi" w:cstheme="majorBidi"/>
          <w:sz w:val="28"/>
          <w:szCs w:val="28"/>
          <w:lang w:eastAsia="en-GB"/>
        </w:rPr>
      </w:pPr>
      <w:r w:rsidRPr="00FA6DE5">
        <w:rPr>
          <w:rFonts w:asciiTheme="majorBidi" w:hAnsiTheme="majorBidi" w:cstheme="majorBidi"/>
          <w:sz w:val="28"/>
          <w:szCs w:val="28"/>
          <w:lang w:eastAsia="en-GB"/>
        </w:rPr>
        <w:t xml:space="preserve">Table 12: Projected reductions of stream flow (blue water) over the </w:t>
      </w:r>
      <w:r w:rsidRPr="00FA6DE5">
        <w:rPr>
          <w:rFonts w:asciiTheme="majorBidi" w:hAnsiTheme="majorBidi" w:cstheme="majorBidi"/>
          <w:sz w:val="28"/>
          <w:szCs w:val="28"/>
          <w:lang w:eastAsia="en-GB"/>
        </w:rPr>
        <w:lastRenderedPageBreak/>
        <w:t>basin for the future periods (%).</w:t>
      </w:r>
    </w:p>
    <w:tbl>
      <w:tblPr>
        <w:tblStyle w:val="TableGrid"/>
        <w:tblW w:w="5220" w:type="dxa"/>
        <w:tblInd w:w="1332"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504"/>
        <w:gridCol w:w="564"/>
        <w:gridCol w:w="706"/>
        <w:gridCol w:w="1446"/>
      </w:tblGrid>
      <w:tr w:rsidR="00FA6DE5" w:rsidRPr="005B1A8D" w:rsidTr="00FA6DE5">
        <w:trPr>
          <w:trHeight w:val="231"/>
        </w:trPr>
        <w:tc>
          <w:tcPr>
            <w:tcW w:w="2504" w:type="dxa"/>
            <w:vMerge w:val="restart"/>
          </w:tcPr>
          <w:p w:rsidR="00FA6DE5" w:rsidRPr="005B1A8D" w:rsidRDefault="00FA6DE5" w:rsidP="003D04DC">
            <w:pPr>
              <w:bidi/>
              <w:jc w:val="center"/>
              <w:rPr>
                <w:rFonts w:asciiTheme="majorBidi" w:hAnsiTheme="majorBidi" w:cstheme="majorBidi"/>
                <w:sz w:val="28"/>
                <w:szCs w:val="28"/>
              </w:rPr>
            </w:pPr>
            <w:r w:rsidRPr="005B1A8D">
              <w:rPr>
                <w:rFonts w:asciiTheme="majorBidi" w:hAnsiTheme="majorBidi" w:cstheme="majorBidi"/>
                <w:sz w:val="28"/>
                <w:szCs w:val="28"/>
              </w:rPr>
              <w:t>Period</w:t>
            </w:r>
          </w:p>
        </w:tc>
        <w:tc>
          <w:tcPr>
            <w:tcW w:w="2716" w:type="dxa"/>
            <w:gridSpan w:val="3"/>
          </w:tcPr>
          <w:p w:rsidR="00FA6DE5" w:rsidRPr="005B1A8D" w:rsidRDefault="00FA6DE5" w:rsidP="003D04DC">
            <w:pPr>
              <w:jc w:val="center"/>
              <w:rPr>
                <w:rFonts w:asciiTheme="majorBidi" w:hAnsiTheme="majorBidi" w:cstheme="majorBidi"/>
                <w:sz w:val="28"/>
                <w:szCs w:val="28"/>
              </w:rPr>
            </w:pPr>
            <w:r w:rsidRPr="005B1A8D">
              <w:rPr>
                <w:rFonts w:asciiTheme="majorBidi" w:hAnsiTheme="majorBidi" w:cstheme="majorBidi"/>
                <w:sz w:val="28"/>
                <w:szCs w:val="28"/>
              </w:rPr>
              <w:t>Emission Scenarios</w:t>
            </w:r>
          </w:p>
        </w:tc>
      </w:tr>
      <w:tr w:rsidR="00FA6DE5" w:rsidRPr="005B1A8D" w:rsidTr="00FA6DE5">
        <w:trPr>
          <w:trHeight w:val="109"/>
        </w:trPr>
        <w:tc>
          <w:tcPr>
            <w:tcW w:w="2504" w:type="dxa"/>
            <w:vMerge/>
          </w:tcPr>
          <w:p w:rsidR="00FA6DE5" w:rsidRPr="005B1A8D" w:rsidRDefault="00FA6DE5" w:rsidP="003D04DC">
            <w:pPr>
              <w:bidi/>
              <w:jc w:val="center"/>
              <w:rPr>
                <w:rFonts w:asciiTheme="majorBidi" w:hAnsiTheme="majorBidi" w:cstheme="majorBidi"/>
                <w:sz w:val="28"/>
                <w:szCs w:val="28"/>
              </w:rPr>
            </w:pPr>
          </w:p>
        </w:tc>
        <w:tc>
          <w:tcPr>
            <w:tcW w:w="0" w:type="auto"/>
          </w:tcPr>
          <w:p w:rsidR="00FA6DE5" w:rsidRPr="005B1A8D" w:rsidRDefault="00FA6DE5" w:rsidP="003D04DC">
            <w:pPr>
              <w:jc w:val="center"/>
              <w:rPr>
                <w:rFonts w:asciiTheme="majorBidi" w:hAnsiTheme="majorBidi" w:cstheme="majorBidi"/>
                <w:sz w:val="28"/>
                <w:szCs w:val="28"/>
              </w:rPr>
            </w:pPr>
            <w:r w:rsidRPr="005B1A8D">
              <w:rPr>
                <w:rFonts w:asciiTheme="majorBidi" w:hAnsiTheme="majorBidi" w:cstheme="majorBidi"/>
                <w:sz w:val="28"/>
                <w:szCs w:val="28"/>
              </w:rPr>
              <w:t>A2</w:t>
            </w:r>
          </w:p>
        </w:tc>
        <w:tc>
          <w:tcPr>
            <w:tcW w:w="0" w:type="auto"/>
          </w:tcPr>
          <w:p w:rsidR="00FA6DE5" w:rsidRPr="005B1A8D" w:rsidRDefault="00FA6DE5" w:rsidP="003D04DC">
            <w:pPr>
              <w:jc w:val="center"/>
              <w:rPr>
                <w:rFonts w:asciiTheme="majorBidi" w:hAnsiTheme="majorBidi" w:cstheme="majorBidi"/>
                <w:sz w:val="28"/>
                <w:szCs w:val="28"/>
              </w:rPr>
            </w:pPr>
            <w:r w:rsidRPr="005B1A8D">
              <w:rPr>
                <w:rFonts w:asciiTheme="majorBidi" w:hAnsiTheme="majorBidi" w:cstheme="majorBidi"/>
                <w:sz w:val="28"/>
                <w:szCs w:val="28"/>
              </w:rPr>
              <w:t>AIB</w:t>
            </w:r>
          </w:p>
        </w:tc>
        <w:tc>
          <w:tcPr>
            <w:tcW w:w="1432" w:type="dxa"/>
          </w:tcPr>
          <w:p w:rsidR="00FA6DE5" w:rsidRPr="005B1A8D" w:rsidRDefault="00FA6DE5" w:rsidP="003D04DC">
            <w:pPr>
              <w:jc w:val="center"/>
              <w:rPr>
                <w:rFonts w:asciiTheme="majorBidi" w:hAnsiTheme="majorBidi" w:cstheme="majorBidi"/>
                <w:sz w:val="28"/>
                <w:szCs w:val="28"/>
              </w:rPr>
            </w:pPr>
            <w:r w:rsidRPr="005B1A8D">
              <w:rPr>
                <w:rFonts w:asciiTheme="majorBidi" w:hAnsiTheme="majorBidi" w:cstheme="majorBidi"/>
                <w:sz w:val="28"/>
                <w:szCs w:val="28"/>
              </w:rPr>
              <w:t>B1</w:t>
            </w:r>
          </w:p>
        </w:tc>
      </w:tr>
      <w:tr w:rsidR="00FA6DE5" w:rsidRPr="005B1A8D" w:rsidTr="00FA6DE5">
        <w:trPr>
          <w:trHeight w:val="329"/>
        </w:trPr>
        <w:tc>
          <w:tcPr>
            <w:tcW w:w="2504" w:type="dxa"/>
          </w:tcPr>
          <w:p w:rsidR="00FA6DE5" w:rsidRPr="005B1A8D" w:rsidRDefault="00FA6DE5" w:rsidP="003D04DC">
            <w:pPr>
              <w:jc w:val="center"/>
              <w:rPr>
                <w:rFonts w:asciiTheme="majorBidi" w:hAnsiTheme="majorBidi" w:cstheme="majorBidi"/>
                <w:sz w:val="28"/>
                <w:szCs w:val="28"/>
              </w:rPr>
            </w:pPr>
            <w:r w:rsidRPr="005B1A8D">
              <w:rPr>
                <w:rFonts w:asciiTheme="majorBidi" w:hAnsiTheme="majorBidi" w:cstheme="majorBidi"/>
                <w:sz w:val="28"/>
                <w:szCs w:val="28"/>
              </w:rPr>
              <w:t>2046-2064</w:t>
            </w:r>
          </w:p>
          <w:p w:rsidR="00FA6DE5" w:rsidRPr="005B1A8D" w:rsidRDefault="00FA6DE5" w:rsidP="003D04DC">
            <w:pPr>
              <w:jc w:val="center"/>
              <w:rPr>
                <w:rFonts w:asciiTheme="majorBidi" w:hAnsiTheme="majorBidi" w:cstheme="majorBidi"/>
                <w:sz w:val="28"/>
                <w:szCs w:val="28"/>
              </w:rPr>
            </w:pPr>
          </w:p>
        </w:tc>
        <w:tc>
          <w:tcPr>
            <w:tcW w:w="0" w:type="auto"/>
          </w:tcPr>
          <w:p w:rsidR="00FA6DE5" w:rsidRPr="005B1A8D" w:rsidRDefault="00FA6DE5" w:rsidP="003D04DC">
            <w:pPr>
              <w:jc w:val="center"/>
              <w:rPr>
                <w:rFonts w:asciiTheme="majorBidi" w:hAnsiTheme="majorBidi" w:cstheme="majorBidi"/>
                <w:sz w:val="28"/>
                <w:szCs w:val="28"/>
              </w:rPr>
            </w:pPr>
            <w:r w:rsidRPr="005B1A8D">
              <w:rPr>
                <w:rFonts w:asciiTheme="majorBidi" w:hAnsiTheme="majorBidi" w:cstheme="majorBidi"/>
                <w:sz w:val="28"/>
                <w:szCs w:val="28"/>
              </w:rPr>
              <w:t>62</w:t>
            </w:r>
          </w:p>
        </w:tc>
        <w:tc>
          <w:tcPr>
            <w:tcW w:w="0" w:type="auto"/>
          </w:tcPr>
          <w:p w:rsidR="00FA6DE5" w:rsidRPr="005B1A8D" w:rsidRDefault="00FA6DE5" w:rsidP="003D04DC">
            <w:pPr>
              <w:jc w:val="center"/>
              <w:rPr>
                <w:rFonts w:asciiTheme="majorBidi" w:hAnsiTheme="majorBidi" w:cstheme="majorBidi"/>
                <w:sz w:val="28"/>
                <w:szCs w:val="28"/>
              </w:rPr>
            </w:pPr>
            <w:r w:rsidRPr="005B1A8D">
              <w:rPr>
                <w:rFonts w:asciiTheme="majorBidi" w:hAnsiTheme="majorBidi" w:cstheme="majorBidi"/>
                <w:sz w:val="28"/>
                <w:szCs w:val="28"/>
              </w:rPr>
              <w:t>34</w:t>
            </w:r>
          </w:p>
        </w:tc>
        <w:tc>
          <w:tcPr>
            <w:tcW w:w="1432" w:type="dxa"/>
          </w:tcPr>
          <w:p w:rsidR="00FA6DE5" w:rsidRPr="005B1A8D" w:rsidRDefault="00FA6DE5" w:rsidP="003D04DC">
            <w:pPr>
              <w:jc w:val="center"/>
              <w:rPr>
                <w:rFonts w:asciiTheme="majorBidi" w:hAnsiTheme="majorBidi" w:cstheme="majorBidi"/>
                <w:sz w:val="28"/>
                <w:szCs w:val="28"/>
              </w:rPr>
            </w:pPr>
            <w:r w:rsidRPr="005B1A8D">
              <w:rPr>
                <w:rFonts w:asciiTheme="majorBidi" w:hAnsiTheme="majorBidi" w:cstheme="majorBidi"/>
                <w:sz w:val="28"/>
                <w:szCs w:val="28"/>
              </w:rPr>
              <w:t>23</w:t>
            </w:r>
          </w:p>
        </w:tc>
      </w:tr>
      <w:tr w:rsidR="00FA6DE5" w:rsidRPr="005B1A8D" w:rsidTr="00FA6DE5">
        <w:trPr>
          <w:trHeight w:val="358"/>
        </w:trPr>
        <w:tc>
          <w:tcPr>
            <w:tcW w:w="2504" w:type="dxa"/>
          </w:tcPr>
          <w:p w:rsidR="00FA6DE5" w:rsidRPr="005B1A8D" w:rsidRDefault="00FA6DE5" w:rsidP="003D04DC">
            <w:pPr>
              <w:jc w:val="center"/>
              <w:rPr>
                <w:rFonts w:asciiTheme="majorBidi" w:hAnsiTheme="majorBidi" w:cstheme="majorBidi"/>
                <w:sz w:val="28"/>
                <w:szCs w:val="28"/>
              </w:rPr>
            </w:pPr>
            <w:r w:rsidRPr="005B1A8D">
              <w:rPr>
                <w:rFonts w:asciiTheme="majorBidi" w:hAnsiTheme="majorBidi" w:cstheme="majorBidi"/>
                <w:sz w:val="28"/>
                <w:szCs w:val="28"/>
              </w:rPr>
              <w:t>2080-2100</w:t>
            </w:r>
          </w:p>
          <w:p w:rsidR="00FA6DE5" w:rsidRPr="005B1A8D" w:rsidRDefault="00FA6DE5" w:rsidP="003D04DC">
            <w:pPr>
              <w:jc w:val="center"/>
              <w:rPr>
                <w:rFonts w:asciiTheme="majorBidi" w:hAnsiTheme="majorBidi" w:cstheme="majorBidi"/>
                <w:sz w:val="28"/>
                <w:szCs w:val="28"/>
              </w:rPr>
            </w:pPr>
          </w:p>
        </w:tc>
        <w:tc>
          <w:tcPr>
            <w:tcW w:w="0" w:type="auto"/>
          </w:tcPr>
          <w:p w:rsidR="00FA6DE5" w:rsidRPr="005B1A8D" w:rsidRDefault="00FA6DE5" w:rsidP="003D04DC">
            <w:pPr>
              <w:jc w:val="center"/>
              <w:rPr>
                <w:rFonts w:asciiTheme="majorBidi" w:hAnsiTheme="majorBidi" w:cstheme="majorBidi"/>
                <w:sz w:val="28"/>
                <w:szCs w:val="28"/>
              </w:rPr>
            </w:pPr>
            <w:r w:rsidRPr="005B1A8D">
              <w:rPr>
                <w:rFonts w:asciiTheme="majorBidi" w:hAnsiTheme="majorBidi" w:cstheme="majorBidi"/>
                <w:sz w:val="28"/>
                <w:szCs w:val="28"/>
              </w:rPr>
              <w:t>67</w:t>
            </w:r>
          </w:p>
        </w:tc>
        <w:tc>
          <w:tcPr>
            <w:tcW w:w="0" w:type="auto"/>
          </w:tcPr>
          <w:p w:rsidR="00FA6DE5" w:rsidRPr="005B1A8D" w:rsidRDefault="00FA6DE5" w:rsidP="003D04DC">
            <w:pPr>
              <w:jc w:val="center"/>
              <w:rPr>
                <w:rFonts w:asciiTheme="majorBidi" w:hAnsiTheme="majorBidi" w:cstheme="majorBidi"/>
                <w:sz w:val="28"/>
                <w:szCs w:val="28"/>
              </w:rPr>
            </w:pPr>
            <w:r w:rsidRPr="005B1A8D">
              <w:rPr>
                <w:rFonts w:asciiTheme="majorBidi" w:hAnsiTheme="majorBidi" w:cstheme="majorBidi"/>
                <w:sz w:val="28"/>
                <w:szCs w:val="28"/>
              </w:rPr>
              <w:t>37</w:t>
            </w:r>
          </w:p>
        </w:tc>
        <w:tc>
          <w:tcPr>
            <w:tcW w:w="1432" w:type="dxa"/>
          </w:tcPr>
          <w:p w:rsidR="00FA6DE5" w:rsidRPr="005B1A8D" w:rsidRDefault="00FA6DE5" w:rsidP="003D04DC">
            <w:pPr>
              <w:jc w:val="center"/>
              <w:rPr>
                <w:rFonts w:asciiTheme="majorBidi" w:hAnsiTheme="majorBidi" w:cstheme="majorBidi"/>
                <w:sz w:val="28"/>
                <w:szCs w:val="28"/>
              </w:rPr>
            </w:pPr>
            <w:r w:rsidRPr="005B1A8D">
              <w:rPr>
                <w:rFonts w:asciiTheme="majorBidi" w:hAnsiTheme="majorBidi" w:cstheme="majorBidi"/>
                <w:sz w:val="28"/>
                <w:szCs w:val="28"/>
              </w:rPr>
              <w:t>27</w:t>
            </w:r>
          </w:p>
        </w:tc>
      </w:tr>
    </w:tbl>
    <w:p w:rsidR="00FA6DE5" w:rsidRPr="005B1A8D" w:rsidRDefault="00FA6DE5" w:rsidP="00FA6DE5">
      <w:pPr>
        <w:spacing w:line="240" w:lineRule="auto"/>
        <w:jc w:val="center"/>
        <w:rPr>
          <w:rFonts w:asciiTheme="majorBidi" w:hAnsiTheme="majorBidi" w:cstheme="majorBidi"/>
          <w:sz w:val="28"/>
          <w:szCs w:val="28"/>
          <w:lang w:eastAsia="en-GB"/>
        </w:rPr>
      </w:pPr>
    </w:p>
    <w:p w:rsidR="00FA6DE5" w:rsidRPr="005B1A8D" w:rsidRDefault="00FA6DE5" w:rsidP="00FA6DE5">
      <w:pPr>
        <w:spacing w:line="240" w:lineRule="auto"/>
        <w:ind w:firstLine="1304"/>
        <w:rPr>
          <w:rFonts w:asciiTheme="majorBidi" w:hAnsiTheme="majorBidi" w:cstheme="majorBidi"/>
          <w:sz w:val="28"/>
          <w:szCs w:val="28"/>
          <w:lang w:eastAsia="en-GB"/>
        </w:rPr>
      </w:pPr>
      <w:r w:rsidRPr="005B1A8D">
        <w:rPr>
          <w:rFonts w:asciiTheme="majorBidi" w:hAnsiTheme="majorBidi" w:cstheme="majorBidi"/>
          <w:sz w:val="28"/>
          <w:szCs w:val="28"/>
          <w:lang w:eastAsia="en-GB"/>
        </w:rPr>
        <w:t>It may be concluded from the foregoing analyses that Climate Change will have severe impacts on the water resources of all the Tigris tributaries which drain into it in Iraq. The various emissions scenarios together with various circulation models used show a decreasing trend of runoffs as a result of increasing trend in temperatures and decreasing trend of precipitation. Although the various Emission Scenarios and various General Circulation Models gave varying results, the trends they show confirmed these reductions in runoffs. The results in all cases are alarming whether taken in the near future period (2046-2064) or the distant future (2080-2100). These reductions combined with the expected reduction in the Tigris River water resources in Turkey (previously discussed) give a very dark and gloomy picture of the future of agriculture and human conditions in Iraq in the 21st Century.</w:t>
      </w:r>
    </w:p>
    <w:p w:rsidR="00FA6DE5" w:rsidRPr="005B1A8D" w:rsidRDefault="00FA6DE5" w:rsidP="00FA6DE5">
      <w:pPr>
        <w:spacing w:line="240" w:lineRule="auto"/>
        <w:rPr>
          <w:rFonts w:asciiTheme="majorBidi" w:hAnsiTheme="majorBidi" w:cstheme="majorBidi"/>
          <w:b/>
          <w:bCs/>
          <w:sz w:val="28"/>
          <w:szCs w:val="28"/>
          <w:lang w:eastAsia="en-GB"/>
        </w:rPr>
      </w:pPr>
      <w:r w:rsidRPr="005B1A8D">
        <w:rPr>
          <w:rFonts w:asciiTheme="majorBidi" w:hAnsiTheme="majorBidi" w:cstheme="majorBidi"/>
          <w:b/>
          <w:bCs/>
          <w:sz w:val="28"/>
          <w:szCs w:val="28"/>
          <w:lang w:eastAsia="en-GB"/>
        </w:rPr>
        <w:t>7. Some local Impacts of Climate Change in Iraq</w:t>
      </w:r>
    </w:p>
    <w:p w:rsidR="00FA6DE5" w:rsidRPr="005B1A8D" w:rsidRDefault="00FA6DE5" w:rsidP="00FA6DE5">
      <w:pPr>
        <w:spacing w:line="240" w:lineRule="auto"/>
        <w:rPr>
          <w:rFonts w:asciiTheme="majorBidi" w:hAnsiTheme="majorBidi" w:cstheme="majorBidi"/>
          <w:b/>
          <w:bCs/>
          <w:i/>
          <w:iCs/>
          <w:sz w:val="28"/>
          <w:szCs w:val="28"/>
          <w:lang w:eastAsia="en-GB"/>
        </w:rPr>
      </w:pPr>
      <w:r w:rsidRPr="005B1A8D">
        <w:rPr>
          <w:rFonts w:asciiTheme="majorBidi" w:hAnsiTheme="majorBidi" w:cstheme="majorBidi"/>
          <w:b/>
          <w:bCs/>
          <w:i/>
          <w:iCs/>
          <w:sz w:val="28"/>
          <w:szCs w:val="28"/>
          <w:lang w:eastAsia="en-GB"/>
        </w:rPr>
        <w:t>7.1. Desertification, Drought, and Sand Storms</w:t>
      </w:r>
    </w:p>
    <w:p w:rsidR="00FA6DE5" w:rsidRPr="005B1A8D" w:rsidRDefault="00FA6DE5" w:rsidP="00FA6DE5">
      <w:pPr>
        <w:spacing w:line="240" w:lineRule="auto"/>
        <w:ind w:firstLine="1304"/>
        <w:rPr>
          <w:rFonts w:asciiTheme="majorBidi" w:hAnsiTheme="majorBidi" w:cstheme="majorBidi"/>
          <w:sz w:val="28"/>
          <w:szCs w:val="28"/>
          <w:lang w:eastAsia="en-GB"/>
        </w:rPr>
      </w:pPr>
      <w:r w:rsidRPr="005B1A8D">
        <w:rPr>
          <w:rFonts w:asciiTheme="majorBidi" w:hAnsiTheme="majorBidi" w:cstheme="majorBidi"/>
          <w:sz w:val="28"/>
          <w:szCs w:val="28"/>
          <w:lang w:eastAsia="en-GB"/>
        </w:rPr>
        <w:t xml:space="preserve">Decreasing rainfall is one of the significant factors that simultaneously marks and intensifies desertification. Climate Change exacerbates desertification through changing of spatial and temporal patterns of rainfall. The variation of rainfall amounts causes changes in the land vegetative cover through both numbers of dry years or seasons resulting in very long drought periods. The increase in temperatures as a result of Climate Change results in changing soil properties and </w:t>
      </w:r>
      <w:r w:rsidRPr="005B1A8D">
        <w:rPr>
          <w:rFonts w:asciiTheme="majorBidi" w:hAnsiTheme="majorBidi" w:cstheme="majorBidi"/>
          <w:sz w:val="28"/>
          <w:szCs w:val="28"/>
          <w:lang w:eastAsia="en-GB"/>
        </w:rPr>
        <w:lastRenderedPageBreak/>
        <w:t xml:space="preserve">processes, such as organic matter decomposition, greater leaching losses, decreased soil water, soil erosion, and degradation through reducing soil moisture, and erosion in some regions because of heavy rainfall and increased wind speed </w:t>
      </w:r>
      <w:r w:rsidRPr="005B1A8D">
        <w:rPr>
          <w:rFonts w:asciiTheme="majorBidi" w:hAnsiTheme="majorBidi" w:cstheme="majorBidi"/>
          <w:sz w:val="28"/>
          <w:szCs w:val="28"/>
        </w:rPr>
        <w:t>[12]</w:t>
      </w:r>
      <w:r w:rsidRPr="005B1A8D">
        <w:rPr>
          <w:rFonts w:asciiTheme="majorBidi" w:hAnsiTheme="majorBidi" w:cstheme="majorBidi"/>
          <w:sz w:val="28"/>
          <w:szCs w:val="28"/>
          <w:lang w:eastAsia="en-GB"/>
        </w:rPr>
        <w:t xml:space="preserve">. Climate Change also accelerates desertification through changing the regional water resources systems regime by disrupting the balance between water outflow and inflow due to the variation of rainfall amounts and increasing temperature, which enhances evaporation. Climate Change impact causing droughts and increased desertification is quite evident in recent years in Iraq and Syria forming the two limbs of what was known as the “Fertile Crescent” (Fig.31). One study projected that due to Climate Change Impact this “Fertile Crescent” might turn to completely the opposite in its dryness and extended desertification by the end of the century; which was discussed in Section (2.2) </w:t>
      </w:r>
      <w:r w:rsidRPr="005B1A8D">
        <w:rPr>
          <w:rFonts w:asciiTheme="majorBidi" w:hAnsiTheme="majorBidi" w:cstheme="majorBidi"/>
          <w:sz w:val="28"/>
          <w:szCs w:val="28"/>
        </w:rPr>
        <w:t>[23]</w:t>
      </w:r>
      <w:r w:rsidRPr="005B1A8D">
        <w:rPr>
          <w:rFonts w:asciiTheme="majorBidi" w:hAnsiTheme="majorBidi" w:cstheme="majorBidi"/>
          <w:sz w:val="28"/>
          <w:szCs w:val="28"/>
          <w:lang w:eastAsia="en-GB"/>
        </w:rPr>
        <w:t>.</w:t>
      </w:r>
    </w:p>
    <w:p w:rsidR="00FA6DE5" w:rsidRPr="005B1A8D" w:rsidRDefault="00FA6DE5" w:rsidP="00FA6DE5">
      <w:pPr>
        <w:spacing w:line="240" w:lineRule="auto"/>
        <w:jc w:val="center"/>
        <w:rPr>
          <w:rFonts w:asciiTheme="majorBidi" w:hAnsiTheme="majorBidi" w:cstheme="majorBidi"/>
          <w:sz w:val="28"/>
          <w:szCs w:val="28"/>
          <w:lang w:eastAsia="en-GB"/>
        </w:rPr>
      </w:pPr>
      <w:r w:rsidRPr="005B1A8D">
        <w:rPr>
          <w:rFonts w:asciiTheme="majorBidi" w:eastAsia="Calibri" w:hAnsiTheme="majorBidi" w:cstheme="majorBidi"/>
          <w:noProof/>
          <w:sz w:val="28"/>
          <w:szCs w:val="28"/>
          <w:lang w:eastAsia="en-US"/>
        </w:rPr>
        <w:drawing>
          <wp:inline distT="0" distB="0" distL="0" distR="0" wp14:anchorId="07E41A51" wp14:editId="54D23844">
            <wp:extent cx="3310994" cy="2377440"/>
            <wp:effectExtent l="57150" t="38100" r="41806" b="22860"/>
            <wp:docPr id="42" name="Picture 2" descr="Map showing droughts in Syria and Ira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815122" name="Picture 2" descr="Map showing droughts in Syria and Iraq."/>
                    <pic:cNvPicPr>
                      <a:picLocks noChangeAspect="1" noChangeArrowheads="1"/>
                    </pic:cNvPicPr>
                  </pic:nvPicPr>
                  <pic:blipFill>
                    <a:blip r:embed="rId42" cstate="print"/>
                    <a:stretch>
                      <a:fillRect/>
                    </a:stretch>
                  </pic:blipFill>
                  <pic:spPr bwMode="auto">
                    <a:xfrm>
                      <a:off x="0" y="0"/>
                      <a:ext cx="3310994" cy="2377440"/>
                    </a:xfrm>
                    <a:prstGeom prst="rect">
                      <a:avLst/>
                    </a:prstGeom>
                    <a:noFill/>
                    <a:ln w="28575">
                      <a:solidFill>
                        <a:sysClr val="windowText" lastClr="000000"/>
                      </a:solidFill>
                      <a:miter lim="800000"/>
                      <a:headEnd/>
                      <a:tailEnd/>
                    </a:ln>
                  </pic:spPr>
                </pic:pic>
              </a:graphicData>
            </a:graphic>
          </wp:inline>
        </w:drawing>
      </w:r>
    </w:p>
    <w:p w:rsidR="00FA6DE5" w:rsidRPr="00FA6DE5" w:rsidRDefault="00FA6DE5" w:rsidP="00FA6DE5">
      <w:pPr>
        <w:spacing w:line="240" w:lineRule="auto"/>
        <w:jc w:val="center"/>
        <w:rPr>
          <w:rFonts w:asciiTheme="majorBidi" w:hAnsiTheme="majorBidi" w:cstheme="majorBidi"/>
          <w:sz w:val="28"/>
          <w:szCs w:val="28"/>
          <w:lang w:eastAsia="en-GB"/>
        </w:rPr>
      </w:pPr>
      <w:r w:rsidRPr="00FA6DE5">
        <w:rPr>
          <w:rFonts w:asciiTheme="majorBidi" w:hAnsiTheme="majorBidi" w:cstheme="majorBidi"/>
          <w:sz w:val="28"/>
          <w:szCs w:val="28"/>
          <w:lang w:eastAsia="en-GB"/>
        </w:rPr>
        <w:t>Fig.31: The so-called "Fertile Crescent" in a NASA image.</w:t>
      </w:r>
    </w:p>
    <w:p w:rsidR="00FA6DE5" w:rsidRDefault="00FA6DE5" w:rsidP="00FA6DE5">
      <w:pPr>
        <w:spacing w:line="240" w:lineRule="auto"/>
        <w:ind w:firstLine="1304"/>
        <w:rPr>
          <w:rFonts w:asciiTheme="majorBidi" w:hAnsiTheme="majorBidi" w:cstheme="majorBidi"/>
          <w:sz w:val="28"/>
          <w:szCs w:val="28"/>
          <w:lang w:eastAsia="en-GB"/>
        </w:rPr>
      </w:pPr>
    </w:p>
    <w:p w:rsidR="00FA6DE5" w:rsidRPr="005B1A8D" w:rsidRDefault="00FA6DE5" w:rsidP="00FA6DE5">
      <w:pPr>
        <w:spacing w:line="240" w:lineRule="auto"/>
        <w:ind w:firstLine="1304"/>
        <w:rPr>
          <w:rFonts w:asciiTheme="majorBidi" w:hAnsiTheme="majorBidi" w:cstheme="majorBidi"/>
          <w:sz w:val="28"/>
          <w:szCs w:val="28"/>
          <w:lang w:eastAsia="en-GB"/>
        </w:rPr>
      </w:pPr>
      <w:r w:rsidRPr="005B1A8D">
        <w:rPr>
          <w:rFonts w:asciiTheme="majorBidi" w:hAnsiTheme="majorBidi" w:cstheme="majorBidi"/>
          <w:sz w:val="28"/>
          <w:szCs w:val="28"/>
          <w:lang w:eastAsia="en-GB"/>
        </w:rPr>
        <w:t xml:space="preserve">This area witnessed one of the most devastating droughts in decades in (2007-2008); which scientists linked to Climate Change. This severe drought hit most of Syria and northern Iraq during what is normally the wettest time of the year. In the mountains of eastern Turkey, which form the headwaters of the Tigris and Euphrates rivers, snow and rain were less than half of normal. Drought is becoming a fixture in this landscape, due to a drying trend of the Mediterranean and Middle East region fueled by global warming </w:t>
      </w:r>
      <w:r w:rsidRPr="005B1A8D">
        <w:rPr>
          <w:rFonts w:asciiTheme="majorBidi" w:hAnsiTheme="majorBidi" w:cstheme="majorBidi"/>
          <w:sz w:val="28"/>
          <w:szCs w:val="28"/>
        </w:rPr>
        <w:t>[46]</w:t>
      </w:r>
      <w:r w:rsidRPr="005B1A8D">
        <w:rPr>
          <w:rFonts w:asciiTheme="majorBidi" w:hAnsiTheme="majorBidi" w:cstheme="majorBidi"/>
          <w:sz w:val="28"/>
          <w:szCs w:val="28"/>
          <w:lang w:eastAsia="en-GB"/>
        </w:rPr>
        <w:t xml:space="preserve">.  The current and future impacts of Climate Change inevitably will lead to decreasing lake </w:t>
      </w:r>
      <w:r w:rsidRPr="005B1A8D">
        <w:rPr>
          <w:rFonts w:asciiTheme="majorBidi" w:hAnsiTheme="majorBidi" w:cstheme="majorBidi"/>
          <w:sz w:val="28"/>
          <w:szCs w:val="28"/>
          <w:lang w:eastAsia="en-GB"/>
        </w:rPr>
        <w:lastRenderedPageBreak/>
        <w:t xml:space="preserve">sizes, dry wetlands and to changing the regional </w:t>
      </w:r>
      <w:proofErr w:type="gramStart"/>
      <w:r w:rsidRPr="005B1A8D">
        <w:rPr>
          <w:rFonts w:asciiTheme="majorBidi" w:hAnsiTheme="majorBidi" w:cstheme="majorBidi"/>
          <w:sz w:val="28"/>
          <w:szCs w:val="28"/>
          <w:lang w:eastAsia="en-GB"/>
        </w:rPr>
        <w:t xml:space="preserve">environment  </w:t>
      </w:r>
      <w:r w:rsidRPr="005B1A8D">
        <w:rPr>
          <w:rFonts w:asciiTheme="majorBidi" w:hAnsiTheme="majorBidi" w:cstheme="majorBidi"/>
          <w:sz w:val="28"/>
          <w:szCs w:val="28"/>
        </w:rPr>
        <w:t>[</w:t>
      </w:r>
      <w:proofErr w:type="gramEnd"/>
      <w:r w:rsidRPr="005B1A8D">
        <w:rPr>
          <w:rFonts w:asciiTheme="majorBidi" w:hAnsiTheme="majorBidi" w:cstheme="majorBidi"/>
          <w:sz w:val="28"/>
          <w:szCs w:val="28"/>
        </w:rPr>
        <w:t>47]</w:t>
      </w:r>
      <w:r w:rsidRPr="005B1A8D">
        <w:rPr>
          <w:rFonts w:asciiTheme="majorBidi" w:hAnsiTheme="majorBidi" w:cstheme="majorBidi"/>
          <w:sz w:val="28"/>
          <w:szCs w:val="28"/>
          <w:lang w:eastAsia="en-GB"/>
        </w:rPr>
        <w:t xml:space="preserve">. This trend will impede and hamper the current efforts to restore the marshes of southern Iraq and may result in their drying up. Given the impact of low rainfall and wasteful irrigation practices in Iraq, environmentalists predict the marshes will remain at a fraction of their typical size </w:t>
      </w:r>
      <w:r w:rsidRPr="005B1A8D">
        <w:rPr>
          <w:rFonts w:asciiTheme="majorBidi" w:hAnsiTheme="majorBidi" w:cstheme="majorBidi"/>
          <w:sz w:val="28"/>
          <w:szCs w:val="28"/>
        </w:rPr>
        <w:t>[48]</w:t>
      </w:r>
      <w:r w:rsidRPr="005B1A8D">
        <w:rPr>
          <w:rFonts w:asciiTheme="majorBidi" w:hAnsiTheme="majorBidi" w:cstheme="majorBidi"/>
          <w:sz w:val="28"/>
          <w:szCs w:val="28"/>
          <w:lang w:eastAsia="en-GB"/>
        </w:rPr>
        <w:t xml:space="preserve"> if not disappear altogether. A 2009 report by UNDP described the impacts of global warming on Iraq and it underscored the severe droughts it had experienced and the declining precipitation over the Tigris and Euphrates basins in the 5-10 years previous to the report which amounted only to 25-65 percent of normal levels. This study states that Climate Chang Impact is the main reason; which is expressed in the form of global warming and changes in the North Atlantic Oscillation (NAO) </w:t>
      </w:r>
      <w:r w:rsidRPr="005B1A8D">
        <w:rPr>
          <w:rFonts w:asciiTheme="majorBidi" w:hAnsiTheme="majorBidi" w:cstheme="majorBidi"/>
          <w:sz w:val="28"/>
          <w:szCs w:val="28"/>
        </w:rPr>
        <w:t>[49]</w:t>
      </w:r>
      <w:r w:rsidRPr="005B1A8D">
        <w:rPr>
          <w:rFonts w:asciiTheme="majorBidi" w:hAnsiTheme="majorBidi" w:cstheme="majorBidi"/>
          <w:sz w:val="28"/>
          <w:szCs w:val="28"/>
          <w:lang w:eastAsia="en-GB"/>
        </w:rPr>
        <w:t>. The same study goes on to explain that these changes will increase the likelihood of massive dust storms as a result of losing soil moisture and vegetation cover and, furthermore the impacts are expected to be more severe as time passes, which will lead to more destruction of physical and chemical characteristic of soil in Iraq's arable and non-arable lands.</w:t>
      </w:r>
    </w:p>
    <w:p w:rsidR="00FA6DE5" w:rsidRPr="005B1A8D" w:rsidRDefault="00FA6DE5" w:rsidP="00FA6DE5">
      <w:pPr>
        <w:spacing w:line="240" w:lineRule="auto"/>
        <w:ind w:firstLine="1304"/>
        <w:rPr>
          <w:rFonts w:asciiTheme="majorBidi" w:hAnsiTheme="majorBidi" w:cstheme="majorBidi"/>
          <w:sz w:val="28"/>
          <w:szCs w:val="28"/>
          <w:lang w:eastAsia="en-GB"/>
        </w:rPr>
      </w:pPr>
      <w:r w:rsidRPr="005B1A8D">
        <w:rPr>
          <w:rFonts w:asciiTheme="majorBidi" w:hAnsiTheme="majorBidi" w:cstheme="majorBidi"/>
          <w:sz w:val="28"/>
          <w:szCs w:val="28"/>
          <w:lang w:eastAsia="en-GB"/>
        </w:rPr>
        <w:t>Taking all the predictions of future Climate Change Impact on the Tigris and Euphrates river basins described in Sections (2.4) and (2.5), productive land especially in Iraq will be reduced to a barren land with extensive deserts and only narrow strips of irrigated stretches along the two rivers.</w:t>
      </w:r>
    </w:p>
    <w:p w:rsidR="00FA6DE5" w:rsidRPr="005B1A8D" w:rsidRDefault="00FA6DE5" w:rsidP="00FA6DE5">
      <w:pPr>
        <w:spacing w:line="240" w:lineRule="auto"/>
        <w:rPr>
          <w:rFonts w:asciiTheme="majorBidi" w:hAnsiTheme="majorBidi" w:cstheme="majorBidi"/>
          <w:sz w:val="28"/>
          <w:szCs w:val="28"/>
          <w:lang w:eastAsia="en-GB"/>
        </w:rPr>
      </w:pPr>
      <w:r w:rsidRPr="005B1A8D">
        <w:rPr>
          <w:rFonts w:asciiTheme="majorBidi" w:hAnsiTheme="majorBidi" w:cstheme="majorBidi"/>
          <w:sz w:val="28"/>
          <w:szCs w:val="28"/>
          <w:lang w:eastAsia="en-GB"/>
        </w:rPr>
        <w:t xml:space="preserve"> A direct consequence of the increased aridity which is strongly felt is the occurrence of sandstorms. In a study of sand and dust storms events in Iraq, </w:t>
      </w:r>
      <w:r w:rsidRPr="005B1A8D">
        <w:rPr>
          <w:rFonts w:asciiTheme="majorBidi" w:hAnsiTheme="majorBidi" w:cstheme="majorBidi"/>
          <w:sz w:val="28"/>
          <w:szCs w:val="28"/>
        </w:rPr>
        <w:t>[50]</w:t>
      </w:r>
      <w:r w:rsidRPr="005B1A8D">
        <w:rPr>
          <w:rFonts w:asciiTheme="majorBidi" w:hAnsiTheme="majorBidi" w:cstheme="majorBidi"/>
          <w:sz w:val="28"/>
          <w:szCs w:val="28"/>
          <w:lang w:eastAsia="en-GB"/>
        </w:rPr>
        <w:t xml:space="preserve"> state that the frequency of occurrence of dust storms has increased drastically during the last decade and it is increasing continuously. According to United Nations report, it states that the Iraqi Ministry of Environment has recorded 122 dust storms and 283 dusty days in 2012 and it estimates that this will increase to 300 dusty days per year in the next ten years. </w:t>
      </w:r>
      <w:r w:rsidRPr="005B1A8D">
        <w:rPr>
          <w:rFonts w:asciiTheme="majorBidi" w:hAnsiTheme="majorBidi" w:cstheme="majorBidi"/>
          <w:sz w:val="28"/>
          <w:szCs w:val="28"/>
        </w:rPr>
        <w:t>[51]</w:t>
      </w:r>
      <w:r w:rsidRPr="005B1A8D">
        <w:rPr>
          <w:rFonts w:asciiTheme="majorBidi" w:hAnsiTheme="majorBidi" w:cstheme="majorBidi"/>
          <w:sz w:val="28"/>
          <w:szCs w:val="28"/>
          <w:lang w:eastAsia="en-GB"/>
        </w:rPr>
        <w:t>. A typical image of such an event is shown in figure 32.</w:t>
      </w:r>
    </w:p>
    <w:p w:rsidR="00FA6DE5" w:rsidRPr="005B1A8D" w:rsidRDefault="00FA6DE5" w:rsidP="00FA6DE5">
      <w:pPr>
        <w:spacing w:line="240" w:lineRule="auto"/>
        <w:jc w:val="center"/>
        <w:rPr>
          <w:rFonts w:asciiTheme="majorBidi" w:hAnsiTheme="majorBidi" w:cstheme="majorBidi"/>
          <w:sz w:val="28"/>
          <w:szCs w:val="28"/>
          <w:lang w:eastAsia="en-GB"/>
        </w:rPr>
      </w:pPr>
      <w:r w:rsidRPr="005B1A8D">
        <w:rPr>
          <w:rFonts w:asciiTheme="majorBidi" w:hAnsiTheme="majorBidi" w:cstheme="majorBidi"/>
          <w:noProof/>
          <w:sz w:val="28"/>
          <w:szCs w:val="28"/>
          <w:rtl/>
          <w:lang w:eastAsia="en-US"/>
        </w:rPr>
        <w:lastRenderedPageBreak/>
        <w:drawing>
          <wp:inline distT="0" distB="0" distL="0" distR="0" wp14:anchorId="1FC5744D" wp14:editId="750B8184">
            <wp:extent cx="2211098" cy="1665873"/>
            <wp:effectExtent l="38100" t="38100" r="36830" b="29845"/>
            <wp:docPr id="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174793" name="Picture 1"/>
                    <pic:cNvPicPr>
                      <a:picLocks noChangeAspect="1" noChangeArrowheads="1"/>
                    </pic:cNvPicPr>
                  </pic:nvPicPr>
                  <pic:blipFill>
                    <a:blip r:embed="rId43" cstate="print"/>
                    <a:stretch>
                      <a:fillRect/>
                    </a:stretch>
                  </pic:blipFill>
                  <pic:spPr bwMode="auto">
                    <a:xfrm>
                      <a:off x="0" y="0"/>
                      <a:ext cx="2229740" cy="1679918"/>
                    </a:xfrm>
                    <a:prstGeom prst="rect">
                      <a:avLst/>
                    </a:prstGeom>
                    <a:noFill/>
                    <a:ln w="28575">
                      <a:solidFill>
                        <a:schemeClr val="tx1"/>
                      </a:solidFill>
                      <a:miter lim="800000"/>
                      <a:headEnd/>
                      <a:tailEnd/>
                    </a:ln>
                  </pic:spPr>
                </pic:pic>
              </a:graphicData>
            </a:graphic>
          </wp:inline>
        </w:drawing>
      </w:r>
    </w:p>
    <w:p w:rsidR="00FA6DE5" w:rsidRPr="00FA6DE5" w:rsidRDefault="00FA6DE5" w:rsidP="00FA6DE5">
      <w:pPr>
        <w:spacing w:line="240" w:lineRule="auto"/>
        <w:jc w:val="center"/>
        <w:rPr>
          <w:rFonts w:asciiTheme="majorBidi" w:hAnsiTheme="majorBidi" w:cstheme="majorBidi"/>
          <w:sz w:val="28"/>
          <w:szCs w:val="28"/>
          <w:lang w:eastAsia="en-GB"/>
        </w:rPr>
      </w:pPr>
      <w:r w:rsidRPr="00FA6DE5">
        <w:rPr>
          <w:rFonts w:asciiTheme="majorBidi" w:hAnsiTheme="majorBidi" w:cstheme="majorBidi"/>
          <w:sz w:val="28"/>
          <w:szCs w:val="28"/>
          <w:lang w:eastAsia="en-GB"/>
        </w:rPr>
        <w:t xml:space="preserve">Fig. 32: Aerial view of a dust storm. Note it had started just in the northwestern borders of Iraq (The Moderate Resolution Imaging </w:t>
      </w:r>
      <w:proofErr w:type="spellStart"/>
      <w:r w:rsidRPr="00FA6DE5">
        <w:rPr>
          <w:rFonts w:asciiTheme="majorBidi" w:hAnsiTheme="majorBidi" w:cstheme="majorBidi"/>
          <w:sz w:val="28"/>
          <w:szCs w:val="28"/>
          <w:lang w:eastAsia="en-GB"/>
        </w:rPr>
        <w:t>Spectroradiometer</w:t>
      </w:r>
      <w:proofErr w:type="spellEnd"/>
      <w:r w:rsidRPr="00FA6DE5">
        <w:rPr>
          <w:rFonts w:asciiTheme="majorBidi" w:hAnsiTheme="majorBidi" w:cstheme="majorBidi"/>
          <w:sz w:val="28"/>
          <w:szCs w:val="28"/>
          <w:lang w:eastAsia="en-GB"/>
        </w:rPr>
        <w:t xml:space="preserve"> (MODIS) on NASA's Aqua satellite captured this natural-color image on March 3, 2011).</w:t>
      </w:r>
    </w:p>
    <w:p w:rsidR="00FA6DE5" w:rsidRPr="005B1A8D" w:rsidRDefault="00FA6DE5" w:rsidP="00FA6DE5">
      <w:pPr>
        <w:spacing w:line="240" w:lineRule="auto"/>
        <w:ind w:firstLine="1304"/>
        <w:rPr>
          <w:rFonts w:asciiTheme="majorBidi" w:hAnsiTheme="majorBidi" w:cstheme="majorBidi"/>
          <w:sz w:val="28"/>
          <w:szCs w:val="28"/>
          <w:lang w:eastAsia="en-GB"/>
        </w:rPr>
      </w:pPr>
      <w:r w:rsidRPr="005B1A8D">
        <w:rPr>
          <w:rFonts w:asciiTheme="majorBidi" w:hAnsiTheme="majorBidi" w:cstheme="majorBidi"/>
          <w:sz w:val="28"/>
          <w:szCs w:val="28"/>
          <w:lang w:eastAsia="en-GB"/>
        </w:rPr>
        <w:t xml:space="preserve">The recent changes in different climatic factors in the Middle East are mostly attributed to the Global Climate Change Impact. The area has experienced enormous changes in the average annual temperatures and the average annual precipitation contributing to increased desertification followed by increased sand and dust storms events. The majority of the territory of Iraq, as a consequence has changed into a Very High Potential Zone for the occurrence of such storms except for a small part in the extreme northeastern part, where it shows Moderate Potential for dust storms, which is shown in (Fig. 33). Taking the current trends dictated by future Climate Change Impact on the Tigris and Euphrates river basins already explained, the phenomenon of increased sand and dust storms will reach unimaginable limits and worsen life quality to very low levels by the end of the century unless some corrective measures are taken by the authorities. Such measures may include stabilization of sand dunes, and create wide and extensive green zones especially around cities using trees and shrubs with high tolerance to moisture deficiency, and by applying modern practices in conserving water resources.    </w:t>
      </w:r>
    </w:p>
    <w:p w:rsidR="00FA6DE5" w:rsidRPr="005B1A8D" w:rsidRDefault="00FA6DE5" w:rsidP="00FA6DE5">
      <w:pPr>
        <w:spacing w:line="240" w:lineRule="auto"/>
        <w:jc w:val="center"/>
        <w:rPr>
          <w:rFonts w:asciiTheme="majorBidi" w:hAnsiTheme="majorBidi" w:cstheme="majorBidi"/>
          <w:sz w:val="28"/>
          <w:szCs w:val="28"/>
          <w:lang w:eastAsia="en-GB"/>
        </w:rPr>
      </w:pPr>
      <w:r w:rsidRPr="005B1A8D">
        <w:rPr>
          <w:rFonts w:asciiTheme="majorBidi" w:hAnsiTheme="majorBidi" w:cstheme="majorBidi"/>
          <w:noProof/>
          <w:sz w:val="28"/>
          <w:szCs w:val="28"/>
          <w:lang w:eastAsia="en-US"/>
        </w:rPr>
        <w:lastRenderedPageBreak/>
        <w:drawing>
          <wp:inline distT="0" distB="0" distL="0" distR="0" wp14:anchorId="55749319" wp14:editId="743C0085">
            <wp:extent cx="4353975" cy="2326005"/>
            <wp:effectExtent l="0" t="0" r="8890" b="0"/>
            <wp:docPr id="41" name="Picture 2" descr="C:\Users\HP-PC\Downloads\Sand and dust storm events in Iraq I-6-6-p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079906" name="Picture 2" descr="C:\Users\HP-PC\Downloads\Sand and dust storm events in Iraq I-6-6-page-001.jpg"/>
                    <pic:cNvPicPr>
                      <a:picLocks noChangeAspect="1" noChangeArrowheads="1"/>
                    </pic:cNvPicPr>
                  </pic:nvPicPr>
                  <pic:blipFill>
                    <a:blip r:embed="rId44" cstate="print"/>
                    <a:stretch>
                      <a:fillRect/>
                    </a:stretch>
                  </pic:blipFill>
                  <pic:spPr bwMode="auto">
                    <a:xfrm>
                      <a:off x="0" y="0"/>
                      <a:ext cx="4371279" cy="2335249"/>
                    </a:xfrm>
                    <a:prstGeom prst="rect">
                      <a:avLst/>
                    </a:prstGeom>
                    <a:noFill/>
                    <a:ln w="9525">
                      <a:noFill/>
                      <a:miter lim="800000"/>
                      <a:headEnd/>
                      <a:tailEnd/>
                    </a:ln>
                  </pic:spPr>
                </pic:pic>
              </a:graphicData>
            </a:graphic>
          </wp:inline>
        </w:drawing>
      </w:r>
    </w:p>
    <w:p w:rsidR="00FA6DE5" w:rsidRPr="00FA6DE5" w:rsidRDefault="00FA6DE5" w:rsidP="00FA6DE5">
      <w:pPr>
        <w:spacing w:line="240" w:lineRule="auto"/>
        <w:jc w:val="center"/>
        <w:rPr>
          <w:rFonts w:asciiTheme="majorBidi" w:hAnsiTheme="majorBidi" w:cstheme="majorBidi"/>
          <w:sz w:val="28"/>
          <w:szCs w:val="28"/>
          <w:lang w:eastAsia="en-GB"/>
        </w:rPr>
      </w:pPr>
      <w:r w:rsidRPr="00FA6DE5">
        <w:rPr>
          <w:rFonts w:asciiTheme="majorBidi" w:hAnsiTheme="majorBidi" w:cstheme="majorBidi"/>
          <w:sz w:val="28"/>
          <w:szCs w:val="28"/>
          <w:lang w:eastAsia="en-GB"/>
        </w:rPr>
        <w:t>Fig. 33: Global Dust Potential Map (</w:t>
      </w:r>
      <w:proofErr w:type="gramStart"/>
      <w:r w:rsidRPr="00FA6DE5">
        <w:rPr>
          <w:rFonts w:asciiTheme="majorBidi" w:hAnsiTheme="majorBidi" w:cstheme="majorBidi"/>
          <w:sz w:val="28"/>
          <w:szCs w:val="28"/>
          <w:lang w:eastAsia="en-GB"/>
        </w:rPr>
        <w:t>After</w:t>
      </w:r>
      <w:r w:rsidRPr="005B1A8D">
        <w:rPr>
          <w:rFonts w:asciiTheme="majorBidi" w:hAnsiTheme="majorBidi" w:cstheme="majorBidi"/>
          <w:sz w:val="28"/>
          <w:szCs w:val="28"/>
          <w:lang w:eastAsia="en-GB"/>
        </w:rPr>
        <w:t>[</w:t>
      </w:r>
      <w:proofErr w:type="gramEnd"/>
      <w:r w:rsidRPr="005B1A8D">
        <w:rPr>
          <w:rFonts w:asciiTheme="majorBidi" w:hAnsiTheme="majorBidi" w:cstheme="majorBidi"/>
          <w:sz w:val="28"/>
          <w:szCs w:val="28"/>
          <w:lang w:eastAsia="en-GB"/>
        </w:rPr>
        <w:t>52]</w:t>
      </w:r>
      <w:r w:rsidRPr="00FA6DE5">
        <w:rPr>
          <w:rFonts w:asciiTheme="majorBidi" w:hAnsiTheme="majorBidi" w:cstheme="majorBidi"/>
          <w:sz w:val="28"/>
          <w:szCs w:val="28"/>
          <w:lang w:eastAsia="en-GB"/>
        </w:rPr>
        <w:t>).</w:t>
      </w:r>
    </w:p>
    <w:p w:rsidR="00FA6DE5" w:rsidRPr="005B1A8D" w:rsidRDefault="00FA6DE5" w:rsidP="00FA6DE5">
      <w:pPr>
        <w:spacing w:line="240" w:lineRule="auto"/>
        <w:rPr>
          <w:rFonts w:asciiTheme="majorBidi" w:hAnsiTheme="majorBidi" w:cstheme="majorBidi"/>
          <w:b/>
          <w:bCs/>
          <w:sz w:val="28"/>
          <w:szCs w:val="28"/>
          <w:lang w:eastAsia="en-GB"/>
        </w:rPr>
      </w:pPr>
      <w:r w:rsidRPr="005B1A8D">
        <w:rPr>
          <w:rFonts w:asciiTheme="majorBidi" w:hAnsiTheme="majorBidi" w:cstheme="majorBidi"/>
          <w:b/>
          <w:bCs/>
          <w:sz w:val="28"/>
          <w:szCs w:val="28"/>
          <w:lang w:eastAsia="en-GB"/>
        </w:rPr>
        <w:t>2.6.2. Sea Level Rise (SLR)</w:t>
      </w:r>
    </w:p>
    <w:p w:rsidR="00FA6DE5" w:rsidRPr="005B1A8D" w:rsidRDefault="00FA6DE5" w:rsidP="00FA6DE5">
      <w:pPr>
        <w:spacing w:line="240" w:lineRule="auto"/>
        <w:rPr>
          <w:rFonts w:asciiTheme="majorBidi" w:hAnsiTheme="majorBidi" w:cstheme="majorBidi"/>
          <w:b/>
          <w:bCs/>
          <w:sz w:val="28"/>
          <w:szCs w:val="28"/>
          <w:lang w:eastAsia="en-GB"/>
        </w:rPr>
      </w:pPr>
    </w:p>
    <w:p w:rsidR="00FA6DE5" w:rsidRPr="00FA6DE5" w:rsidRDefault="00FA6DE5" w:rsidP="00FA6DE5">
      <w:pPr>
        <w:spacing w:line="240" w:lineRule="auto"/>
        <w:rPr>
          <w:szCs w:val="24"/>
        </w:rPr>
      </w:pPr>
      <w:r w:rsidRPr="00FA6DE5">
        <w:rPr>
          <w:szCs w:val="24"/>
        </w:rPr>
        <w:t xml:space="preserve">In section 2.2 the sea level rise caused by Global Climate Change Impact was briefly described with some mention of its effects on Iraq. A survey was done on the implications of global warming on coastal zones of the Arab Region which highlighted the vulnerability of the Arab countries to potential impacts of sea level rise [53]. The study indicated that most of these countries, if not all, are extremely vulnerable to the impacts of sea level rise not only through direct inundation but also due to salt water intrusion. Another Study looked in the impacts of SLR on the Arabian coastline and highlighted those countries with high potential risk of SLR [14].  It indicated that a simulation for SLR has been conducted using the Geographical Information System (GIS) and the Shuttle Radar Topography Mission (SRTM) data. Under the 1 m SLR scenario, the simulation reveals that approximately 41,500 km2 of the territory of the Arab countries would be directly impacted by the rise of the sea level. But taking into account the full “likely” range of predicted increases in temperature, SLR could even be amplified to up to 1.4 m by the year 2100.  </w:t>
      </w:r>
    </w:p>
    <w:p w:rsidR="00FA6DE5" w:rsidRPr="00FA6DE5" w:rsidRDefault="00FA6DE5" w:rsidP="00FA6DE5">
      <w:pPr>
        <w:spacing w:line="240" w:lineRule="auto"/>
        <w:rPr>
          <w:szCs w:val="24"/>
        </w:rPr>
      </w:pPr>
      <w:r w:rsidRPr="00FA6DE5">
        <w:rPr>
          <w:szCs w:val="24"/>
        </w:rPr>
        <w:t xml:space="preserve">   </w:t>
      </w:r>
      <w:r w:rsidRPr="00FA6DE5">
        <w:rPr>
          <w:szCs w:val="24"/>
        </w:rPr>
        <w:tab/>
        <w:t xml:space="preserve"> In dealing with the estuary of Shatt al-Arab at the head of the Arabian Gulf the shoreline of Iraq is very limited; however, it is considered one of the most vulnerable areas in the region because of its low elevation with respect to sea level. The low elevation areas appear to extend through Basra City even for the 1m sea level rise. The potential impact may affect soil salinity by salt water intrusion and may cause serious inundation of many parts of the Tigris and Euphrates delta. For a 3 m sea rise the intrusion of the sea can reach </w:t>
      </w:r>
      <w:proofErr w:type="spellStart"/>
      <w:r w:rsidRPr="00FA6DE5">
        <w:rPr>
          <w:szCs w:val="24"/>
        </w:rPr>
        <w:t>Amarah</w:t>
      </w:r>
      <w:proofErr w:type="spellEnd"/>
      <w:r w:rsidRPr="00FA6DE5">
        <w:rPr>
          <w:szCs w:val="24"/>
        </w:rPr>
        <w:t xml:space="preserve"> and beyond Nasiriya.</w:t>
      </w:r>
    </w:p>
    <w:p w:rsidR="00FA6DE5" w:rsidRPr="00FA6DE5" w:rsidRDefault="00FA6DE5" w:rsidP="00FA6DE5">
      <w:pPr>
        <w:spacing w:after="240" w:line="360" w:lineRule="auto"/>
        <w:rPr>
          <w:szCs w:val="24"/>
        </w:rPr>
      </w:pPr>
      <w:r w:rsidRPr="00FA6DE5">
        <w:rPr>
          <w:szCs w:val="24"/>
        </w:rPr>
        <w:lastRenderedPageBreak/>
        <w:t xml:space="preserve"> </w:t>
      </w:r>
      <w:r w:rsidRPr="005B1A8D">
        <w:rPr>
          <w:rFonts w:asciiTheme="majorBidi" w:hAnsiTheme="majorBidi" w:cstheme="majorBidi"/>
          <w:noProof/>
          <w:sz w:val="28"/>
          <w:szCs w:val="28"/>
          <w:lang w:eastAsia="en-US"/>
        </w:rPr>
        <w:drawing>
          <wp:inline distT="0" distB="0" distL="0" distR="0" wp14:anchorId="3E01086C" wp14:editId="48ACF4AB">
            <wp:extent cx="4872925" cy="2541106"/>
            <wp:effectExtent l="0" t="0" r="4445" b="0"/>
            <wp:docPr id="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474831" name="Picture 1"/>
                    <pic:cNvPicPr>
                      <a:picLocks noChangeAspect="1" noChangeArrowheads="1"/>
                    </pic:cNvPicPr>
                  </pic:nvPicPr>
                  <pic:blipFill>
                    <a:blip r:embed="rId45" cstate="print"/>
                    <a:stretch>
                      <a:fillRect/>
                    </a:stretch>
                  </pic:blipFill>
                  <pic:spPr bwMode="auto">
                    <a:xfrm>
                      <a:off x="0" y="0"/>
                      <a:ext cx="4891811" cy="2550955"/>
                    </a:xfrm>
                    <a:prstGeom prst="rect">
                      <a:avLst/>
                    </a:prstGeom>
                    <a:noFill/>
                    <a:ln w="9525">
                      <a:noFill/>
                      <a:miter lim="800000"/>
                      <a:headEnd/>
                      <a:tailEnd/>
                    </a:ln>
                  </pic:spPr>
                </pic:pic>
              </a:graphicData>
            </a:graphic>
          </wp:inline>
        </w:drawing>
      </w:r>
    </w:p>
    <w:p w:rsidR="00FA6DE5" w:rsidRDefault="00FA6DE5" w:rsidP="00FA6DE5">
      <w:pPr>
        <w:spacing w:after="240" w:line="360" w:lineRule="auto"/>
        <w:rPr>
          <w:szCs w:val="24"/>
        </w:rPr>
      </w:pPr>
      <w:r w:rsidRPr="00FA6DE5">
        <w:rPr>
          <w:szCs w:val="24"/>
        </w:rPr>
        <w:t>Fig. 34: Extension of sea level rise in Iraq as represented by the scenario of sea level rise 0f (+1m).</w:t>
      </w:r>
    </w:p>
    <w:p w:rsidR="00FA6DE5" w:rsidRPr="00FA6DE5" w:rsidRDefault="00FA6DE5" w:rsidP="00FA6DE5">
      <w:pPr>
        <w:spacing w:after="240" w:line="360" w:lineRule="auto"/>
        <w:rPr>
          <w:szCs w:val="24"/>
        </w:rPr>
      </w:pPr>
      <w:r w:rsidRPr="005B1A8D">
        <w:rPr>
          <w:rFonts w:asciiTheme="majorBidi" w:hAnsiTheme="majorBidi" w:cstheme="majorBidi"/>
          <w:i/>
          <w:iCs/>
          <w:noProof/>
          <w:lang w:eastAsia="en-US"/>
        </w:rPr>
        <w:drawing>
          <wp:inline distT="0" distB="0" distL="0" distR="0" wp14:anchorId="12DCD2B5" wp14:editId="3C8C25EC">
            <wp:extent cx="4922520" cy="2555924"/>
            <wp:effectExtent l="0" t="0" r="0" b="0"/>
            <wp:docPr id="4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267881" name="Picture 4"/>
                    <pic:cNvPicPr>
                      <a:picLocks noChangeAspect="1" noChangeArrowheads="1"/>
                    </pic:cNvPicPr>
                  </pic:nvPicPr>
                  <pic:blipFill>
                    <a:blip r:embed="rId46" cstate="print"/>
                    <a:stretch>
                      <a:fillRect/>
                    </a:stretch>
                  </pic:blipFill>
                  <pic:spPr bwMode="auto">
                    <a:xfrm>
                      <a:off x="0" y="0"/>
                      <a:ext cx="4943844" cy="2566996"/>
                    </a:xfrm>
                    <a:prstGeom prst="rect">
                      <a:avLst/>
                    </a:prstGeom>
                    <a:noFill/>
                    <a:ln w="9525">
                      <a:noFill/>
                      <a:miter lim="800000"/>
                      <a:headEnd/>
                      <a:tailEnd/>
                    </a:ln>
                  </pic:spPr>
                </pic:pic>
              </a:graphicData>
            </a:graphic>
          </wp:inline>
        </w:drawing>
      </w:r>
    </w:p>
    <w:p w:rsidR="00FA6DE5" w:rsidRPr="00FA6DE5" w:rsidRDefault="00FA6DE5" w:rsidP="00FA6DE5">
      <w:pPr>
        <w:spacing w:after="240" w:line="360" w:lineRule="auto"/>
        <w:rPr>
          <w:szCs w:val="24"/>
        </w:rPr>
      </w:pPr>
      <w:r w:rsidRPr="00FA6DE5">
        <w:rPr>
          <w:szCs w:val="24"/>
        </w:rPr>
        <w:t xml:space="preserve"> </w:t>
      </w:r>
    </w:p>
    <w:p w:rsidR="00FA6DE5" w:rsidRPr="00FA6DE5" w:rsidRDefault="00FA6DE5" w:rsidP="00FA6DE5">
      <w:pPr>
        <w:spacing w:after="240" w:line="360" w:lineRule="auto"/>
        <w:rPr>
          <w:szCs w:val="24"/>
        </w:rPr>
      </w:pPr>
      <w:r w:rsidRPr="00FA6DE5">
        <w:rPr>
          <w:szCs w:val="24"/>
        </w:rPr>
        <w:t>Fig. 35: Extension of Sea Level Rise in Iraq as represented by the scenario of sea level rise of (+3m).</w:t>
      </w:r>
    </w:p>
    <w:p w:rsidR="00FA6DE5" w:rsidRPr="00FA6DE5" w:rsidRDefault="00FA6DE5" w:rsidP="00FA6DE5">
      <w:pPr>
        <w:spacing w:line="240" w:lineRule="auto"/>
        <w:rPr>
          <w:szCs w:val="24"/>
        </w:rPr>
      </w:pPr>
      <w:r w:rsidRPr="00FA6DE5">
        <w:rPr>
          <w:szCs w:val="24"/>
        </w:rPr>
        <w:t xml:space="preserve">  </w:t>
      </w:r>
      <w:r w:rsidRPr="00FA6DE5">
        <w:rPr>
          <w:szCs w:val="24"/>
        </w:rPr>
        <w:tab/>
        <w:t xml:space="preserve">On the coast, Umm Qasr and Al </w:t>
      </w:r>
      <w:proofErr w:type="spellStart"/>
      <w:r w:rsidRPr="00FA6DE5">
        <w:rPr>
          <w:szCs w:val="24"/>
        </w:rPr>
        <w:t>Faw</w:t>
      </w:r>
      <w:proofErr w:type="spellEnd"/>
      <w:r w:rsidRPr="00FA6DE5">
        <w:rPr>
          <w:szCs w:val="24"/>
        </w:rPr>
        <w:t xml:space="preserve">, which support trade, shipments, and various businesses and industries (including oil production and storage), may be </w:t>
      </w:r>
      <w:r w:rsidRPr="00FA6DE5">
        <w:rPr>
          <w:szCs w:val="24"/>
        </w:rPr>
        <w:lastRenderedPageBreak/>
        <w:t xml:space="preserve">vulnerable to sea level rise and changing weather patterns that may increase erosive action on the natural features of the coast, as well as infrastructures. This area is very low-lying and susceptible to any amount of sea level rise, as well as being subjected to redistribution of coastal and marine sediments during extreme storm events, which clogs shipping channels and forces frequent dredging. Sea level rise, and constant movement of the lowest low-water mark which defines the maritime borders with Kuwait and Iran has the potential to create international conflict with regard to the location of shipping (there have already been several incidents related to this in recent years – between Iran and Iraq. In addition, Shatt al-Arab is already suffering from salinity intrusion mostly related to lack of freshwater discharge; sea level rise will exacerbate this problem. Almost all the possible impacts of climate variability in Iraq are currently being felt in the Marshlands and adjacent areas in the south, due to the fact that this area is a receptacle for all river discharge and irrigation drainage in Iraq and is also exposed to the influences of sea level rise (increasing salinity in the southern fringes, through the Shatt al-Arab and into portions of the Hammar Marsh). Thus, it is a globally significant area (wetlands with high biodiversity and traditional cultures) that is being assaulted on two fronts (from the north and from the south [53] </w:t>
      </w:r>
    </w:p>
    <w:p w:rsidR="00FA6DE5" w:rsidRDefault="00FA6DE5" w:rsidP="00FA6DE5">
      <w:pPr>
        <w:widowControl/>
        <w:adjustRightInd/>
        <w:spacing w:line="240" w:lineRule="auto"/>
        <w:ind w:left="851" w:hanging="851"/>
        <w:textAlignment w:val="auto"/>
        <w:rPr>
          <w:rFonts w:eastAsia="Calibri"/>
          <w:noProof/>
          <w:sz w:val="28"/>
          <w:szCs w:val="28"/>
          <w:lang w:eastAsia="en-GB"/>
        </w:rPr>
      </w:pPr>
    </w:p>
    <w:p w:rsidR="00FA6DE5" w:rsidRPr="005B1A8D" w:rsidRDefault="00FA6DE5" w:rsidP="00FA6DE5">
      <w:pPr>
        <w:spacing w:line="240" w:lineRule="auto"/>
        <w:rPr>
          <w:rFonts w:asciiTheme="majorBidi" w:hAnsiTheme="majorBidi" w:cstheme="majorBidi"/>
          <w:b/>
          <w:bCs/>
          <w:lang w:eastAsia="en-GB"/>
        </w:rPr>
      </w:pPr>
      <w:r w:rsidRPr="005B1A8D">
        <w:rPr>
          <w:rFonts w:asciiTheme="majorBidi" w:hAnsiTheme="majorBidi" w:cstheme="majorBidi"/>
          <w:b/>
          <w:bCs/>
          <w:lang w:eastAsia="en-GB"/>
        </w:rPr>
        <w:t>References</w:t>
      </w:r>
    </w:p>
    <w:p w:rsidR="00FA6DE5" w:rsidRDefault="00FA6DE5" w:rsidP="00FA6DE5">
      <w:pPr>
        <w:widowControl/>
        <w:adjustRightInd/>
        <w:spacing w:line="240" w:lineRule="auto"/>
        <w:ind w:left="851" w:hanging="851"/>
        <w:textAlignment w:val="auto"/>
        <w:rPr>
          <w:rFonts w:eastAsia="Calibri"/>
          <w:noProof/>
          <w:sz w:val="28"/>
          <w:szCs w:val="28"/>
          <w:lang w:eastAsia="en-GB"/>
        </w:rPr>
      </w:pPr>
    </w:p>
    <w:p w:rsidR="00FA6DE5" w:rsidRDefault="00FA6DE5" w:rsidP="00FA6DE5">
      <w:pPr>
        <w:widowControl/>
        <w:adjustRightInd/>
        <w:spacing w:line="240" w:lineRule="auto"/>
        <w:ind w:left="851" w:hanging="851"/>
        <w:textAlignment w:val="auto"/>
        <w:rPr>
          <w:rFonts w:eastAsia="Calibri"/>
          <w:noProof/>
          <w:sz w:val="28"/>
          <w:szCs w:val="28"/>
          <w:lang w:eastAsia="en-GB"/>
        </w:rPr>
      </w:pPr>
    </w:p>
    <w:p w:rsidR="00FA6DE5" w:rsidRPr="00FA6DE5" w:rsidRDefault="00FA6DE5" w:rsidP="00FA6DE5">
      <w:pPr>
        <w:widowControl/>
        <w:adjustRightInd/>
        <w:spacing w:line="240" w:lineRule="auto"/>
        <w:ind w:left="851" w:hanging="851"/>
        <w:textAlignment w:val="auto"/>
        <w:rPr>
          <w:rFonts w:eastAsia="Calibri"/>
          <w:sz w:val="22"/>
          <w:szCs w:val="22"/>
          <w:lang w:eastAsia="en-GB"/>
        </w:rPr>
      </w:pPr>
      <w:r w:rsidRPr="00FA6DE5">
        <w:rPr>
          <w:rFonts w:eastAsia="Calibri"/>
          <w:noProof/>
          <w:sz w:val="28"/>
          <w:szCs w:val="28"/>
          <w:lang w:eastAsia="en-GB"/>
        </w:rPr>
        <w:t xml:space="preserve">[1] </w:t>
      </w:r>
      <w:r w:rsidRPr="00FA6DE5">
        <w:rPr>
          <w:rFonts w:eastAsia="Calibri"/>
          <w:sz w:val="22"/>
          <w:szCs w:val="22"/>
          <w:lang w:eastAsia="en-GB"/>
        </w:rPr>
        <w:t>National Research Council</w:t>
      </w:r>
      <w:proofErr w:type="gramStart"/>
      <w:r w:rsidRPr="00FA6DE5">
        <w:rPr>
          <w:rFonts w:eastAsia="Calibri"/>
          <w:sz w:val="22"/>
          <w:szCs w:val="22"/>
          <w:lang w:eastAsia="en-GB"/>
        </w:rPr>
        <w:t>,2008</w:t>
      </w:r>
      <w:proofErr w:type="gramEnd"/>
      <w:r w:rsidRPr="00FA6DE5">
        <w:rPr>
          <w:rFonts w:eastAsia="Calibri"/>
          <w:sz w:val="22"/>
          <w:szCs w:val="22"/>
          <w:lang w:eastAsia="en-GB"/>
        </w:rPr>
        <w:t xml:space="preserve">. The Committee on grand research questions in the solid-earth sciences. "Origin and Evolution of Earth: Research Questions for a Changing planet". National Academies Press, Washington, D.C., (paperback). ISBN, 978-0-309-11717-3. </w:t>
      </w:r>
      <w:hyperlink r:id="rId47" w:history="1">
        <w:r w:rsidRPr="00FA6DE5">
          <w:rPr>
            <w:rFonts w:eastAsia="Calibri"/>
            <w:sz w:val="22"/>
            <w:szCs w:val="22"/>
            <w:u w:val="single"/>
            <w:lang w:eastAsia="en-GB"/>
          </w:rPr>
          <w:t>https://www.nap.edu/catalog/12161/origin-and-evolution-of-earth-research-questions-for-a-changing</w:t>
        </w:r>
      </w:hyperlink>
    </w:p>
    <w:p w:rsidR="00FA6DE5" w:rsidRPr="00FA6DE5" w:rsidRDefault="00FA6DE5" w:rsidP="00FA6DE5">
      <w:pPr>
        <w:widowControl/>
        <w:adjustRightInd/>
        <w:spacing w:line="240" w:lineRule="auto"/>
        <w:ind w:left="851" w:hanging="851"/>
        <w:textAlignment w:val="auto"/>
        <w:rPr>
          <w:rFonts w:eastAsia="Calibri"/>
          <w:sz w:val="22"/>
          <w:szCs w:val="22"/>
          <w:lang w:eastAsia="en-GB"/>
        </w:rPr>
      </w:pPr>
      <w:r w:rsidRPr="00FA6DE5">
        <w:rPr>
          <w:rFonts w:eastAsia="Calibri"/>
          <w:noProof/>
          <w:sz w:val="28"/>
          <w:szCs w:val="28"/>
          <w:lang w:eastAsia="en-GB"/>
        </w:rPr>
        <w:t xml:space="preserve">[2] </w:t>
      </w:r>
      <w:r w:rsidRPr="00FA6DE5">
        <w:rPr>
          <w:rFonts w:eastAsia="Calibri"/>
          <w:sz w:val="22"/>
          <w:szCs w:val="22"/>
          <w:lang w:eastAsia="en-GB"/>
        </w:rPr>
        <w:t>IPCC</w:t>
      </w:r>
      <w:proofErr w:type="gramStart"/>
      <w:r w:rsidRPr="00FA6DE5">
        <w:rPr>
          <w:rFonts w:eastAsia="Calibri"/>
          <w:sz w:val="22"/>
          <w:szCs w:val="22"/>
          <w:lang w:eastAsia="en-GB"/>
        </w:rPr>
        <w:t>,1990a</w:t>
      </w:r>
      <w:proofErr w:type="gramEnd"/>
      <w:r w:rsidRPr="00FA6DE5">
        <w:rPr>
          <w:rFonts w:eastAsia="Calibri"/>
          <w:sz w:val="22"/>
          <w:szCs w:val="22"/>
          <w:lang w:eastAsia="en-GB"/>
        </w:rPr>
        <w:t xml:space="preserve">. “Assessments Reports (1990- 2013)”.  </w:t>
      </w:r>
      <w:hyperlink r:id="rId48" w:history="1">
        <w:r w:rsidRPr="00FA6DE5">
          <w:rPr>
            <w:rFonts w:eastAsia="Calibri"/>
            <w:sz w:val="22"/>
            <w:szCs w:val="22"/>
            <w:u w:val="single"/>
            <w:lang w:eastAsia="en-GB"/>
          </w:rPr>
          <w:t>https://www.ipcc.ch/publications_and_data/publications_and_data_reports.shtml</w:t>
        </w:r>
      </w:hyperlink>
      <w:r w:rsidRPr="00FA6DE5">
        <w:rPr>
          <w:rFonts w:eastAsia="Calibri"/>
          <w:sz w:val="22"/>
          <w:szCs w:val="22"/>
          <w:lang w:eastAsia="en-GB"/>
        </w:rPr>
        <w:t xml:space="preserve"> </w:t>
      </w:r>
    </w:p>
    <w:p w:rsidR="00FA6DE5" w:rsidRPr="00FA6DE5" w:rsidRDefault="00FA6DE5" w:rsidP="00FA6DE5">
      <w:pPr>
        <w:widowControl/>
        <w:adjustRightInd/>
        <w:spacing w:line="240" w:lineRule="auto"/>
        <w:ind w:left="851" w:hanging="851"/>
        <w:textAlignment w:val="auto"/>
        <w:rPr>
          <w:rFonts w:eastAsia="Calibri"/>
          <w:sz w:val="22"/>
          <w:szCs w:val="22"/>
          <w:lang w:eastAsia="en-GB"/>
        </w:rPr>
      </w:pPr>
    </w:p>
    <w:p w:rsidR="00FA6DE5" w:rsidRPr="0097169F" w:rsidRDefault="00FA6DE5" w:rsidP="00FA6DE5">
      <w:pPr>
        <w:widowControl/>
        <w:adjustRightInd/>
        <w:spacing w:line="240" w:lineRule="auto"/>
        <w:ind w:left="851" w:hanging="851"/>
        <w:textAlignment w:val="auto"/>
        <w:rPr>
          <w:rFonts w:eastAsia="Calibri"/>
          <w:sz w:val="22"/>
          <w:szCs w:val="22"/>
          <w:u w:val="single"/>
          <w:lang w:eastAsia="en-GB"/>
        </w:rPr>
      </w:pPr>
      <w:r w:rsidRPr="00FA6DE5">
        <w:rPr>
          <w:rFonts w:eastAsia="Calibri"/>
          <w:noProof/>
          <w:sz w:val="28"/>
          <w:szCs w:val="28"/>
          <w:lang w:eastAsia="en-GB"/>
        </w:rPr>
        <w:t xml:space="preserve">[3] </w:t>
      </w:r>
      <w:r w:rsidRPr="00FA6DE5">
        <w:rPr>
          <w:rFonts w:eastAsia="Calibri"/>
          <w:sz w:val="22"/>
          <w:szCs w:val="22"/>
          <w:lang w:eastAsia="en-GB"/>
        </w:rPr>
        <w:t xml:space="preserve">WMO, 1979. "Frequently Asked Questions; what is Climate Change, 1979. </w:t>
      </w:r>
      <w:hyperlink r:id="rId49" w:anchor="q4" w:history="1">
        <w:r w:rsidRPr="0097169F">
          <w:rPr>
            <w:rFonts w:eastAsia="Calibri"/>
            <w:sz w:val="22"/>
            <w:szCs w:val="22"/>
            <w:u w:val="single"/>
            <w:lang w:eastAsia="en-GB"/>
          </w:rPr>
          <w:t>http://www.wmo.int/pages/prog/wcp/ccl/faqs.php#q4</w:t>
        </w:r>
      </w:hyperlink>
    </w:p>
    <w:p w:rsidR="00FA6DE5" w:rsidRPr="0097169F" w:rsidRDefault="00FA6DE5" w:rsidP="00FA6DE5">
      <w:pPr>
        <w:widowControl/>
        <w:adjustRightInd/>
        <w:spacing w:line="240" w:lineRule="auto"/>
        <w:ind w:left="851" w:hanging="851"/>
        <w:textAlignment w:val="auto"/>
        <w:rPr>
          <w:rFonts w:eastAsia="Calibri"/>
          <w:sz w:val="22"/>
          <w:szCs w:val="22"/>
          <w:lang w:eastAsia="en-GB"/>
        </w:rPr>
      </w:pPr>
      <w:r w:rsidRPr="00FA6DE5">
        <w:rPr>
          <w:rFonts w:eastAsia="Calibri"/>
          <w:noProof/>
          <w:sz w:val="28"/>
          <w:szCs w:val="28"/>
          <w:lang w:eastAsia="en-GB"/>
        </w:rPr>
        <w:t xml:space="preserve">[4] </w:t>
      </w:r>
      <w:r w:rsidRPr="00FA6DE5">
        <w:rPr>
          <w:rFonts w:eastAsia="Calibri"/>
          <w:sz w:val="22"/>
          <w:szCs w:val="22"/>
          <w:lang w:eastAsia="en-GB"/>
        </w:rPr>
        <w:t xml:space="preserve">IPCC, 1990b. “Climate Change: The IPCC Scientific Assessment, Introduction (1990).  </w:t>
      </w:r>
      <w:hyperlink r:id="rId50" w:history="1">
        <w:r w:rsidRPr="0097169F">
          <w:rPr>
            <w:rFonts w:eastAsia="Calibri"/>
            <w:sz w:val="22"/>
            <w:szCs w:val="22"/>
            <w:u w:val="single"/>
            <w:lang w:eastAsia="en-GB"/>
          </w:rPr>
          <w:t>https://www.ipcc.ch/publications_and_data/publications_ipcc_first_assessment_1990_wg1.shtml</w:t>
        </w:r>
      </w:hyperlink>
      <w:r w:rsidRPr="0097169F">
        <w:rPr>
          <w:rFonts w:eastAsia="Calibri"/>
          <w:sz w:val="22"/>
          <w:szCs w:val="22"/>
          <w:lang w:eastAsia="en-GB"/>
        </w:rPr>
        <w:t xml:space="preserve"> </w:t>
      </w:r>
    </w:p>
    <w:p w:rsidR="00FA6DE5" w:rsidRPr="00FA6DE5" w:rsidRDefault="00FA6DE5" w:rsidP="00FA6DE5">
      <w:pPr>
        <w:widowControl/>
        <w:adjustRightInd/>
        <w:spacing w:line="240" w:lineRule="auto"/>
        <w:ind w:left="851" w:hanging="851"/>
        <w:textAlignment w:val="auto"/>
        <w:rPr>
          <w:rFonts w:eastAsia="Calibri"/>
          <w:sz w:val="22"/>
          <w:szCs w:val="22"/>
          <w:lang w:eastAsia="en-GB"/>
        </w:rPr>
      </w:pPr>
      <w:r w:rsidRPr="00FA6DE5">
        <w:rPr>
          <w:rFonts w:eastAsia="Calibri"/>
          <w:noProof/>
          <w:sz w:val="28"/>
          <w:szCs w:val="28"/>
          <w:lang w:eastAsia="en-GB"/>
        </w:rPr>
        <w:t xml:space="preserve">[5] </w:t>
      </w:r>
      <w:r w:rsidRPr="00FA6DE5">
        <w:rPr>
          <w:rFonts w:eastAsia="Calibri"/>
          <w:sz w:val="22"/>
          <w:szCs w:val="22"/>
          <w:lang w:eastAsia="en-GB"/>
        </w:rPr>
        <w:t xml:space="preserve">Muller R., </w:t>
      </w:r>
      <w:proofErr w:type="gramStart"/>
      <w:r w:rsidRPr="00FA6DE5">
        <w:rPr>
          <w:rFonts w:eastAsia="Calibri"/>
          <w:sz w:val="22"/>
          <w:szCs w:val="22"/>
          <w:lang w:eastAsia="en-GB"/>
        </w:rPr>
        <w:t>2010 .</w:t>
      </w:r>
      <w:proofErr w:type="gramEnd"/>
      <w:r w:rsidRPr="00FA6DE5">
        <w:rPr>
          <w:rFonts w:eastAsia="Calibri"/>
          <w:sz w:val="22"/>
          <w:szCs w:val="22"/>
          <w:lang w:eastAsia="en-GB"/>
        </w:rPr>
        <w:t xml:space="preserve"> "Physics and Technology for Future Presidents; chapter 10".  Princeton University Press.                                                  http://muller.lbl.gov/teaching/Physics10/PffP_textbook/PffP-10-climate.pdf</w:t>
      </w:r>
    </w:p>
    <w:p w:rsidR="00FA6DE5" w:rsidRPr="00FA6DE5" w:rsidRDefault="00FA6DE5" w:rsidP="00FA6DE5">
      <w:pPr>
        <w:widowControl/>
        <w:adjustRightInd/>
        <w:spacing w:line="240" w:lineRule="auto"/>
        <w:ind w:left="851" w:hanging="851"/>
        <w:textAlignment w:val="auto"/>
        <w:rPr>
          <w:rFonts w:eastAsia="Calibri"/>
          <w:sz w:val="22"/>
          <w:szCs w:val="22"/>
          <w:lang w:eastAsia="en-GB"/>
        </w:rPr>
      </w:pPr>
      <w:r w:rsidRPr="00FA6DE5">
        <w:rPr>
          <w:rFonts w:eastAsia="Calibri"/>
          <w:noProof/>
          <w:sz w:val="28"/>
          <w:szCs w:val="28"/>
          <w:lang w:eastAsia="en-GB"/>
        </w:rPr>
        <w:t xml:space="preserve">[6] </w:t>
      </w:r>
      <w:r w:rsidRPr="00FA6DE5">
        <w:rPr>
          <w:rFonts w:eastAsia="Calibri"/>
          <w:sz w:val="22"/>
          <w:szCs w:val="22"/>
          <w:lang w:eastAsia="en-GB"/>
        </w:rPr>
        <w:t xml:space="preserve">Muller R., 2010. “Physics and Technology for Future Presidents; All Chapters”. Web page:                                                             </w:t>
      </w:r>
      <w:hyperlink r:id="rId51" w:history="1">
        <w:r w:rsidRPr="00FA6DE5">
          <w:rPr>
            <w:rFonts w:eastAsia="Calibri"/>
            <w:sz w:val="22"/>
            <w:szCs w:val="22"/>
            <w:u w:val="single"/>
            <w:lang w:eastAsia="en-GB"/>
          </w:rPr>
          <w:t>http://muller.lbl.gov/teaching/Physics10/PffP.html</w:t>
        </w:r>
      </w:hyperlink>
      <w:r w:rsidRPr="00FA6DE5">
        <w:rPr>
          <w:rFonts w:eastAsia="Calibri"/>
          <w:sz w:val="22"/>
          <w:szCs w:val="22"/>
          <w:lang w:eastAsia="en-GB"/>
        </w:rPr>
        <w:t xml:space="preserve"> </w:t>
      </w:r>
    </w:p>
    <w:p w:rsidR="00FA6DE5" w:rsidRPr="00FA6DE5" w:rsidRDefault="00FA6DE5" w:rsidP="00FA6DE5">
      <w:pPr>
        <w:widowControl/>
        <w:adjustRightInd/>
        <w:spacing w:line="240" w:lineRule="auto"/>
        <w:ind w:left="851" w:hanging="851"/>
        <w:textAlignment w:val="auto"/>
        <w:rPr>
          <w:rFonts w:eastAsia="Calibri"/>
          <w:sz w:val="22"/>
          <w:szCs w:val="22"/>
          <w:lang w:eastAsia="en-GB"/>
        </w:rPr>
      </w:pPr>
      <w:r w:rsidRPr="00FA6DE5">
        <w:rPr>
          <w:rFonts w:eastAsia="Calibri"/>
          <w:noProof/>
          <w:sz w:val="28"/>
          <w:szCs w:val="28"/>
          <w:lang w:eastAsia="en-GB"/>
        </w:rPr>
        <w:lastRenderedPageBreak/>
        <w:t xml:space="preserve">[7] </w:t>
      </w:r>
      <w:r w:rsidRPr="00FA6DE5">
        <w:rPr>
          <w:rFonts w:eastAsia="Calibri"/>
          <w:sz w:val="22"/>
          <w:szCs w:val="22"/>
          <w:lang w:eastAsia="en-GB"/>
        </w:rPr>
        <w:t>IPCC. c.</w:t>
      </w:r>
      <w:proofErr w:type="gramStart"/>
      <w:r w:rsidRPr="00FA6DE5">
        <w:rPr>
          <w:rFonts w:eastAsia="Calibri"/>
          <w:sz w:val="22"/>
          <w:szCs w:val="22"/>
          <w:lang w:eastAsia="en-GB"/>
        </w:rPr>
        <w:t>,2007</w:t>
      </w:r>
      <w:proofErr w:type="gramEnd"/>
      <w:r w:rsidRPr="00FA6DE5">
        <w:rPr>
          <w:rFonts w:eastAsia="Calibri"/>
          <w:sz w:val="22"/>
          <w:szCs w:val="22"/>
          <w:lang w:eastAsia="en-GB"/>
        </w:rPr>
        <w:t>. Working Group 1. “Climate Change: Understanding and attributing climate Change, The Physical Science Basis.</w:t>
      </w:r>
      <w:proofErr w:type="gramStart"/>
      <w:r w:rsidRPr="00FA6DE5">
        <w:rPr>
          <w:rFonts w:eastAsia="Calibri"/>
          <w:sz w:val="22"/>
          <w:szCs w:val="22"/>
          <w:lang w:eastAsia="en-GB"/>
        </w:rPr>
        <w:t>”.</w:t>
      </w:r>
      <w:proofErr w:type="gramEnd"/>
      <w:r w:rsidRPr="00FA6DE5">
        <w:rPr>
          <w:rFonts w:eastAsia="Calibri"/>
          <w:sz w:val="22"/>
          <w:szCs w:val="22"/>
          <w:lang w:eastAsia="en-GB"/>
        </w:rPr>
        <w:t xml:space="preserve"> Fourth Assessment Report</w:t>
      </w:r>
      <w:proofErr w:type="gramStart"/>
      <w:r w:rsidRPr="00FA6DE5">
        <w:rPr>
          <w:rFonts w:eastAsia="Calibri"/>
          <w:sz w:val="22"/>
          <w:szCs w:val="22"/>
          <w:lang w:eastAsia="en-GB"/>
        </w:rPr>
        <w:t>,2007</w:t>
      </w:r>
      <w:proofErr w:type="gramEnd"/>
      <w:r w:rsidRPr="00FA6DE5">
        <w:rPr>
          <w:rFonts w:eastAsia="Calibri"/>
          <w:sz w:val="22"/>
          <w:szCs w:val="22"/>
          <w:lang w:eastAsia="en-GB"/>
        </w:rPr>
        <w:t>. http://www.ipcc.ch/publications_and_data/ar4/wg1/en/spmsspm-understanding-and.html</w:t>
      </w:r>
    </w:p>
    <w:p w:rsidR="00FA6DE5" w:rsidRPr="00FA6DE5" w:rsidRDefault="00FA6DE5" w:rsidP="00FA6DE5">
      <w:pPr>
        <w:widowControl/>
        <w:adjustRightInd/>
        <w:spacing w:line="240" w:lineRule="auto"/>
        <w:ind w:left="851" w:hanging="851"/>
        <w:textAlignment w:val="auto"/>
        <w:rPr>
          <w:rFonts w:eastAsia="Calibri"/>
          <w:sz w:val="22"/>
          <w:szCs w:val="22"/>
          <w:lang w:eastAsia="en-GB"/>
        </w:rPr>
      </w:pPr>
      <w:r w:rsidRPr="00FA6DE5">
        <w:rPr>
          <w:rFonts w:eastAsia="Calibri"/>
          <w:noProof/>
          <w:sz w:val="28"/>
          <w:szCs w:val="28"/>
          <w:lang w:eastAsia="en-GB"/>
        </w:rPr>
        <w:t xml:space="preserve">[8] </w:t>
      </w:r>
      <w:r w:rsidRPr="00FA6DE5">
        <w:rPr>
          <w:rFonts w:eastAsia="Calibri"/>
          <w:sz w:val="22"/>
          <w:szCs w:val="22"/>
          <w:lang w:eastAsia="en-GB"/>
        </w:rPr>
        <w:t xml:space="preserve">IPCC. d., 2000. Working Group III “Special Report on Emission Scenarios-SRES.”. IPCC-UNEP                                                                         </w:t>
      </w:r>
      <w:hyperlink r:id="rId52" w:history="1">
        <w:r w:rsidRPr="00FA6DE5">
          <w:rPr>
            <w:rFonts w:eastAsia="Calibri"/>
            <w:sz w:val="22"/>
            <w:szCs w:val="22"/>
            <w:u w:val="single"/>
            <w:lang w:eastAsia="en-GB"/>
          </w:rPr>
          <w:t>https://www.ipcc.ch/pdf/special-reports/spm/sres-en.pdf</w:t>
        </w:r>
      </w:hyperlink>
      <w:r w:rsidRPr="00FA6DE5">
        <w:rPr>
          <w:rFonts w:eastAsia="Calibri"/>
          <w:sz w:val="22"/>
          <w:szCs w:val="22"/>
          <w:lang w:eastAsia="en-GB"/>
        </w:rPr>
        <w:t xml:space="preserve"> </w:t>
      </w:r>
    </w:p>
    <w:p w:rsidR="00FA6DE5" w:rsidRPr="00FA6DE5" w:rsidRDefault="00FA6DE5" w:rsidP="00FA6DE5">
      <w:pPr>
        <w:widowControl/>
        <w:adjustRightInd/>
        <w:spacing w:line="240" w:lineRule="auto"/>
        <w:ind w:left="851" w:hanging="851"/>
        <w:textAlignment w:val="auto"/>
        <w:rPr>
          <w:rFonts w:eastAsia="Calibri"/>
          <w:sz w:val="22"/>
          <w:szCs w:val="22"/>
          <w:lang w:eastAsia="en-GB"/>
        </w:rPr>
      </w:pPr>
      <w:r w:rsidRPr="00FA6DE5">
        <w:rPr>
          <w:rFonts w:eastAsia="Calibri"/>
          <w:noProof/>
          <w:sz w:val="28"/>
          <w:szCs w:val="28"/>
          <w:lang w:val="sv-SE" w:eastAsia="en-GB"/>
        </w:rPr>
        <w:t xml:space="preserve">[9] </w:t>
      </w:r>
      <w:proofErr w:type="spellStart"/>
      <w:r w:rsidRPr="00FA6DE5">
        <w:rPr>
          <w:rFonts w:eastAsia="Calibri"/>
          <w:sz w:val="22"/>
          <w:szCs w:val="22"/>
          <w:lang w:val="sv-SE" w:eastAsia="en-GB"/>
        </w:rPr>
        <w:t>Zakaria</w:t>
      </w:r>
      <w:proofErr w:type="spellEnd"/>
      <w:r w:rsidRPr="00FA6DE5">
        <w:rPr>
          <w:rFonts w:eastAsia="Calibri"/>
          <w:sz w:val="22"/>
          <w:szCs w:val="22"/>
          <w:lang w:val="sv-SE" w:eastAsia="en-GB"/>
        </w:rPr>
        <w:t xml:space="preserve"> S. Al-Ansari N, Knutsson, 2013.” </w:t>
      </w:r>
      <w:r w:rsidRPr="00FA6DE5">
        <w:rPr>
          <w:rFonts w:eastAsia="Calibri"/>
          <w:sz w:val="22"/>
          <w:szCs w:val="22"/>
          <w:lang w:eastAsia="en-GB"/>
        </w:rPr>
        <w:t>Historical and Future Changes Scenarios for Temperature and Rainfall for Iraq”. Journal of Civil Engineering and Architecture, 73, 12</w:t>
      </w:r>
      <w:proofErr w:type="gramStart"/>
      <w:r w:rsidRPr="00FA6DE5">
        <w:rPr>
          <w:rFonts w:eastAsia="Calibri"/>
          <w:sz w:val="22"/>
          <w:szCs w:val="22"/>
          <w:lang w:eastAsia="en-GB"/>
        </w:rPr>
        <w:t>,1574</w:t>
      </w:r>
      <w:proofErr w:type="gramEnd"/>
      <w:r w:rsidRPr="00FA6DE5">
        <w:rPr>
          <w:rFonts w:eastAsia="Calibri"/>
          <w:sz w:val="22"/>
          <w:szCs w:val="22"/>
          <w:lang w:eastAsia="en-GB"/>
        </w:rPr>
        <w:t xml:space="preserve">-1594.           </w:t>
      </w:r>
      <w:hyperlink r:id="rId53" w:history="1">
        <w:r w:rsidRPr="00FA6DE5">
          <w:rPr>
            <w:rFonts w:eastAsia="Calibri"/>
            <w:sz w:val="22"/>
            <w:szCs w:val="22"/>
            <w:u w:val="single"/>
            <w:lang w:eastAsia="en-GB"/>
          </w:rPr>
          <w:t>https://www.diva-portal.org/smash/get/diva2:988358/FULLTEXT01.pdf</w:t>
        </w:r>
      </w:hyperlink>
    </w:p>
    <w:p w:rsidR="00FA6DE5" w:rsidRPr="00FA6DE5" w:rsidRDefault="00FA6DE5" w:rsidP="00FA6DE5">
      <w:pPr>
        <w:widowControl/>
        <w:adjustRightInd/>
        <w:spacing w:line="240" w:lineRule="auto"/>
        <w:ind w:left="851" w:hanging="851"/>
        <w:textAlignment w:val="auto"/>
        <w:rPr>
          <w:rFonts w:eastAsia="Calibri"/>
          <w:sz w:val="22"/>
          <w:szCs w:val="22"/>
          <w:lang w:eastAsia="en-GB"/>
        </w:rPr>
      </w:pPr>
      <w:r w:rsidRPr="00FA6DE5">
        <w:rPr>
          <w:rFonts w:eastAsia="Calibri"/>
          <w:sz w:val="28"/>
          <w:szCs w:val="28"/>
          <w:lang w:eastAsia="en-US"/>
        </w:rPr>
        <w:t>[10]</w:t>
      </w:r>
      <w:r w:rsidRPr="00FA6DE5">
        <w:rPr>
          <w:rFonts w:eastAsia="Calibri"/>
          <w:sz w:val="22"/>
          <w:szCs w:val="22"/>
          <w:lang w:eastAsia="en-GB"/>
        </w:rPr>
        <w:t xml:space="preserve">WRI, 2005. Earth Trends Data Tables: Climate and Atmosphere. World Resources Institute. Washington D.C. 2005.             </w:t>
      </w:r>
      <w:hyperlink r:id="rId54" w:history="1">
        <w:r w:rsidRPr="00FA6DE5">
          <w:rPr>
            <w:rFonts w:eastAsia="Calibri"/>
            <w:sz w:val="22"/>
            <w:szCs w:val="22"/>
            <w:u w:val="single"/>
            <w:lang w:eastAsia="en-GB"/>
          </w:rPr>
          <w:t>http://pdf.wri.org/wrr05_dt_all.pdf</w:t>
        </w:r>
      </w:hyperlink>
      <w:r w:rsidRPr="00FA6DE5">
        <w:rPr>
          <w:rFonts w:eastAsia="Calibri"/>
          <w:sz w:val="22"/>
          <w:szCs w:val="22"/>
          <w:lang w:eastAsia="en-GB"/>
        </w:rPr>
        <w:t xml:space="preserve"> </w:t>
      </w:r>
    </w:p>
    <w:p w:rsidR="00FA6DE5" w:rsidRPr="00FA6DE5" w:rsidRDefault="00FA6DE5" w:rsidP="00FA6DE5">
      <w:pPr>
        <w:widowControl/>
        <w:adjustRightInd/>
        <w:spacing w:line="240" w:lineRule="auto"/>
        <w:ind w:left="851" w:hanging="851"/>
        <w:textAlignment w:val="auto"/>
        <w:rPr>
          <w:rFonts w:eastAsia="Calibri"/>
          <w:sz w:val="22"/>
          <w:szCs w:val="22"/>
          <w:lang w:eastAsia="en-GB"/>
        </w:rPr>
      </w:pPr>
      <w:r w:rsidRPr="00FA6DE5">
        <w:rPr>
          <w:rFonts w:eastAsia="Calibri"/>
          <w:sz w:val="28"/>
          <w:szCs w:val="28"/>
          <w:lang w:eastAsia="en-US"/>
        </w:rPr>
        <w:t xml:space="preserve">[11] </w:t>
      </w:r>
      <w:proofErr w:type="spellStart"/>
      <w:r w:rsidRPr="00FA6DE5">
        <w:rPr>
          <w:rFonts w:eastAsia="Calibri"/>
          <w:sz w:val="22"/>
          <w:szCs w:val="22"/>
          <w:lang w:eastAsia="en-GB"/>
        </w:rPr>
        <w:t>Trondalen</w:t>
      </w:r>
      <w:proofErr w:type="spellEnd"/>
      <w:r w:rsidRPr="00FA6DE5">
        <w:rPr>
          <w:rFonts w:eastAsia="Calibri"/>
          <w:sz w:val="22"/>
          <w:szCs w:val="22"/>
          <w:lang w:eastAsia="en-GB"/>
        </w:rPr>
        <w:t>, Jon M., 2009. “Climate changes- water Security and possible remedies for the Middle East”. U.N., World Water Assessment Program, UNESCO.20.2009. http://unesdoc.unesco.org/images/0018/001818/181886e.pdf</w:t>
      </w:r>
    </w:p>
    <w:p w:rsidR="00FA6DE5" w:rsidRPr="00FA6DE5" w:rsidRDefault="00FA6DE5" w:rsidP="00FA6DE5">
      <w:pPr>
        <w:widowControl/>
        <w:adjustRightInd/>
        <w:spacing w:line="240" w:lineRule="auto"/>
        <w:ind w:left="851" w:hanging="851"/>
        <w:textAlignment w:val="auto"/>
        <w:rPr>
          <w:rFonts w:eastAsia="Calibri"/>
          <w:sz w:val="22"/>
          <w:szCs w:val="22"/>
          <w:lang w:eastAsia="en-GB"/>
        </w:rPr>
      </w:pPr>
      <w:r w:rsidRPr="00FA6DE5">
        <w:rPr>
          <w:rFonts w:eastAsia="Calibri"/>
          <w:sz w:val="28"/>
          <w:szCs w:val="28"/>
          <w:lang w:eastAsia="en-US"/>
        </w:rPr>
        <w:t xml:space="preserve">[12] </w:t>
      </w:r>
      <w:r w:rsidRPr="00FA6DE5">
        <w:rPr>
          <w:rFonts w:eastAsia="Calibri"/>
          <w:sz w:val="22"/>
          <w:szCs w:val="22"/>
          <w:lang w:eastAsia="en-GB"/>
        </w:rPr>
        <w:t xml:space="preserve">IPCC, 2001. Climate Change: Synthesis Repot. “Sea level Change; Q.02.12-19 and Q. 03.9&amp;Q3.13”. Synthesis Repot. 2001.      https://www.ipcc.ch/pdf/assessmentreport/ar5/wg1/WG1AR5_Chapter13_FINAL.pdf  </w:t>
      </w:r>
    </w:p>
    <w:p w:rsidR="00FA6DE5" w:rsidRPr="00FA6DE5" w:rsidRDefault="00FA6DE5" w:rsidP="00FA6DE5">
      <w:pPr>
        <w:widowControl/>
        <w:adjustRightInd/>
        <w:spacing w:line="240" w:lineRule="auto"/>
        <w:ind w:left="851" w:hanging="851"/>
        <w:textAlignment w:val="auto"/>
        <w:rPr>
          <w:rFonts w:eastAsia="Calibri"/>
          <w:sz w:val="22"/>
          <w:szCs w:val="22"/>
          <w:lang w:eastAsia="en-GB"/>
        </w:rPr>
      </w:pPr>
      <w:r w:rsidRPr="00FA6DE5">
        <w:rPr>
          <w:rFonts w:eastAsia="Calibri"/>
          <w:sz w:val="28"/>
          <w:szCs w:val="28"/>
          <w:lang w:eastAsia="en-US"/>
        </w:rPr>
        <w:t>[13]</w:t>
      </w:r>
      <w:r w:rsidRPr="00FA6DE5">
        <w:rPr>
          <w:rFonts w:eastAsia="Calibri"/>
          <w:sz w:val="28"/>
          <w:szCs w:val="28"/>
          <w:lang w:eastAsia="en-GB"/>
        </w:rPr>
        <w:t xml:space="preserve"> </w:t>
      </w:r>
      <w:r w:rsidRPr="00FA6DE5">
        <w:rPr>
          <w:rFonts w:eastAsia="Calibri"/>
          <w:sz w:val="22"/>
          <w:szCs w:val="22"/>
          <w:lang w:eastAsia="en-GB"/>
        </w:rPr>
        <w:t>IPCC</w:t>
      </w:r>
      <w:proofErr w:type="gramStart"/>
      <w:r w:rsidRPr="00FA6DE5">
        <w:rPr>
          <w:rFonts w:eastAsia="Calibri"/>
          <w:sz w:val="22"/>
          <w:szCs w:val="22"/>
          <w:lang w:eastAsia="en-GB"/>
        </w:rPr>
        <w:t>,2007</w:t>
      </w:r>
      <w:proofErr w:type="gramEnd"/>
      <w:r w:rsidRPr="00FA6DE5">
        <w:rPr>
          <w:rFonts w:eastAsia="Calibri"/>
          <w:sz w:val="22"/>
          <w:szCs w:val="22"/>
          <w:lang w:eastAsia="en-GB"/>
        </w:rPr>
        <w:t>. Climate Change: Synthesis Report. “The Physical Science Basis”. Synthesis Report. 2007. https://www.ipcc.ch/publications_and_data/publications_ipcc_fourth_assessment_report_wg1_report_the_physical_science_basis.htm</w:t>
      </w:r>
    </w:p>
    <w:p w:rsidR="00FA6DE5" w:rsidRPr="00FA6DE5" w:rsidRDefault="00FA6DE5" w:rsidP="00FA6DE5">
      <w:pPr>
        <w:widowControl/>
        <w:adjustRightInd/>
        <w:spacing w:line="240" w:lineRule="auto"/>
        <w:ind w:left="851" w:hanging="851"/>
        <w:textAlignment w:val="auto"/>
        <w:rPr>
          <w:rFonts w:eastAsia="Calibri"/>
          <w:sz w:val="22"/>
          <w:szCs w:val="22"/>
          <w:lang w:eastAsia="en-GB"/>
        </w:rPr>
      </w:pPr>
      <w:r w:rsidRPr="00FA6DE5">
        <w:rPr>
          <w:rFonts w:eastAsia="Calibri"/>
          <w:sz w:val="28"/>
          <w:szCs w:val="28"/>
          <w:lang w:eastAsia="en-US"/>
        </w:rPr>
        <w:t xml:space="preserve">[14] </w:t>
      </w:r>
      <w:proofErr w:type="spellStart"/>
      <w:r w:rsidRPr="00FA6DE5">
        <w:rPr>
          <w:rFonts w:eastAsia="Calibri"/>
          <w:sz w:val="22"/>
          <w:szCs w:val="22"/>
          <w:lang w:eastAsia="en-GB"/>
        </w:rPr>
        <w:t>Ghoneim</w:t>
      </w:r>
      <w:proofErr w:type="spellEnd"/>
      <w:r w:rsidRPr="00FA6DE5">
        <w:rPr>
          <w:rFonts w:eastAsia="Calibri"/>
          <w:sz w:val="22"/>
          <w:szCs w:val="22"/>
          <w:lang w:eastAsia="en-GB"/>
        </w:rPr>
        <w:t xml:space="preserve"> E., 2009</w:t>
      </w:r>
      <w:proofErr w:type="gramStart"/>
      <w:r w:rsidRPr="00FA6DE5">
        <w:rPr>
          <w:rFonts w:eastAsia="Calibri"/>
          <w:sz w:val="22"/>
          <w:szCs w:val="22"/>
          <w:lang w:eastAsia="en-GB"/>
        </w:rPr>
        <w:t>.“</w:t>
      </w:r>
      <w:proofErr w:type="gramEnd"/>
      <w:r w:rsidRPr="00FA6DE5">
        <w:rPr>
          <w:rFonts w:eastAsia="Calibri"/>
          <w:sz w:val="22"/>
          <w:szCs w:val="22"/>
          <w:lang w:eastAsia="en-GB"/>
        </w:rPr>
        <w:t xml:space="preserve">A Remote Sensing Study of Some Impacts of Global Warming". Chapter 3.Arab Environment climate change- impacts of climate change on Arab countries. Edited by </w:t>
      </w:r>
      <w:proofErr w:type="spellStart"/>
      <w:r w:rsidRPr="00FA6DE5">
        <w:rPr>
          <w:rFonts w:eastAsia="Calibri"/>
          <w:sz w:val="22"/>
          <w:szCs w:val="22"/>
          <w:lang w:eastAsia="en-GB"/>
        </w:rPr>
        <w:t>Tolba</w:t>
      </w:r>
      <w:proofErr w:type="spellEnd"/>
      <w:r w:rsidRPr="00FA6DE5">
        <w:rPr>
          <w:rFonts w:eastAsia="Calibri"/>
          <w:sz w:val="22"/>
          <w:szCs w:val="22"/>
          <w:lang w:eastAsia="en-GB"/>
        </w:rPr>
        <w:t xml:space="preserve"> M and Saab N, </w:t>
      </w:r>
      <w:proofErr w:type="gramStart"/>
      <w:r w:rsidRPr="00FA6DE5">
        <w:rPr>
          <w:rFonts w:eastAsia="Calibri"/>
          <w:sz w:val="22"/>
          <w:szCs w:val="22"/>
          <w:lang w:eastAsia="en-GB"/>
        </w:rPr>
        <w:t>2009  http</w:t>
      </w:r>
      <w:proofErr w:type="gramEnd"/>
      <w:r w:rsidRPr="00FA6DE5">
        <w:rPr>
          <w:rFonts w:eastAsia="Calibri"/>
          <w:sz w:val="22"/>
          <w:szCs w:val="22"/>
          <w:lang w:eastAsia="en-GB"/>
        </w:rPr>
        <w:t>://www.afedonline.org/afedreport09/english/char3.pdf</w:t>
      </w:r>
    </w:p>
    <w:p w:rsidR="00FA6DE5" w:rsidRPr="00FA6DE5" w:rsidRDefault="00FA6DE5" w:rsidP="00FA6DE5">
      <w:pPr>
        <w:widowControl/>
        <w:adjustRightInd/>
        <w:spacing w:line="240" w:lineRule="auto"/>
        <w:ind w:left="851" w:hanging="851"/>
        <w:textAlignment w:val="auto"/>
        <w:rPr>
          <w:rFonts w:eastAsia="Calibri"/>
          <w:sz w:val="22"/>
          <w:szCs w:val="22"/>
          <w:lang w:eastAsia="en-GB"/>
        </w:rPr>
      </w:pPr>
      <w:r w:rsidRPr="00FA6DE5">
        <w:rPr>
          <w:rFonts w:eastAsia="Calibri"/>
          <w:sz w:val="28"/>
          <w:szCs w:val="28"/>
          <w:lang w:eastAsia="en-US"/>
        </w:rPr>
        <w:t xml:space="preserve">[15] </w:t>
      </w:r>
      <w:r w:rsidRPr="00FA6DE5">
        <w:rPr>
          <w:rFonts w:eastAsia="Calibri"/>
          <w:sz w:val="22"/>
          <w:szCs w:val="22"/>
          <w:lang w:eastAsia="en-GB"/>
        </w:rPr>
        <w:t>World Bank, 2013. "Water is Focus of Climate Change in the Middle East and North.  Africa”. Archives.2013.   http://web.worldbank.org/archive/website01418/WEB/0__C-151.HTM</w:t>
      </w:r>
    </w:p>
    <w:p w:rsidR="00FA6DE5" w:rsidRPr="00FA6DE5" w:rsidRDefault="00FA6DE5" w:rsidP="00FA6DE5">
      <w:pPr>
        <w:widowControl/>
        <w:adjustRightInd/>
        <w:spacing w:line="240" w:lineRule="auto"/>
        <w:ind w:left="851" w:hanging="851"/>
        <w:textAlignment w:val="auto"/>
        <w:rPr>
          <w:rFonts w:eastAsia="Calibri"/>
          <w:sz w:val="22"/>
          <w:szCs w:val="22"/>
          <w:lang w:eastAsia="en-GB"/>
        </w:rPr>
      </w:pPr>
      <w:r w:rsidRPr="00FA6DE5">
        <w:rPr>
          <w:rFonts w:eastAsia="Calibri"/>
          <w:sz w:val="28"/>
          <w:szCs w:val="28"/>
          <w:lang w:eastAsia="en-US"/>
        </w:rPr>
        <w:t>[16]</w:t>
      </w:r>
      <w:r w:rsidRPr="00FA6DE5">
        <w:rPr>
          <w:rFonts w:eastAsia="Calibri"/>
          <w:sz w:val="22"/>
          <w:szCs w:val="22"/>
          <w:lang w:eastAsia="en-GB"/>
        </w:rPr>
        <w:t>FAO, 2002. AQUASTAT.  Data Base. http://www.fao.org/nr/water/aquastat/data/query/index.html?lang=en</w:t>
      </w:r>
    </w:p>
    <w:p w:rsidR="00FA6DE5" w:rsidRPr="00FA6DE5" w:rsidRDefault="00FA6DE5" w:rsidP="00FA6DE5">
      <w:pPr>
        <w:widowControl/>
        <w:adjustRightInd/>
        <w:spacing w:line="240" w:lineRule="auto"/>
        <w:ind w:left="851" w:hanging="851"/>
        <w:textAlignment w:val="auto"/>
        <w:rPr>
          <w:rFonts w:eastAsia="Calibri"/>
          <w:sz w:val="22"/>
          <w:szCs w:val="22"/>
          <w:lang w:eastAsia="en-GB"/>
        </w:rPr>
      </w:pPr>
      <w:r w:rsidRPr="00FA6DE5">
        <w:rPr>
          <w:rFonts w:eastAsia="Calibri"/>
          <w:sz w:val="28"/>
          <w:szCs w:val="28"/>
          <w:lang w:eastAsia="en-US"/>
        </w:rPr>
        <w:t xml:space="preserve">[17] </w:t>
      </w:r>
      <w:proofErr w:type="spellStart"/>
      <w:r w:rsidRPr="00FA6DE5">
        <w:rPr>
          <w:rFonts w:eastAsia="Calibri"/>
          <w:sz w:val="22"/>
          <w:szCs w:val="22"/>
          <w:lang w:eastAsia="en-GB"/>
        </w:rPr>
        <w:t>Medany</w:t>
      </w:r>
      <w:proofErr w:type="spellEnd"/>
      <w:r w:rsidRPr="00FA6DE5">
        <w:rPr>
          <w:rFonts w:eastAsia="Calibri"/>
          <w:sz w:val="22"/>
          <w:szCs w:val="22"/>
          <w:lang w:eastAsia="en-GB"/>
        </w:rPr>
        <w:t xml:space="preserve"> M., 2008. “Impacts of Climate Change on Arab Countries”. The Arab Forum for Environment and Development. Chapter 9. 2008. http://www.afedonline.org/afedreport/english/book9.pdf </w:t>
      </w:r>
    </w:p>
    <w:p w:rsidR="00FA6DE5" w:rsidRPr="00FA6DE5" w:rsidRDefault="00FA6DE5" w:rsidP="00FA6DE5">
      <w:pPr>
        <w:widowControl/>
        <w:adjustRightInd/>
        <w:spacing w:line="240" w:lineRule="auto"/>
        <w:ind w:left="851" w:hanging="851"/>
        <w:textAlignment w:val="auto"/>
        <w:rPr>
          <w:rFonts w:eastAsia="Calibri"/>
          <w:sz w:val="22"/>
          <w:szCs w:val="22"/>
          <w:lang w:eastAsia="en-GB"/>
        </w:rPr>
      </w:pPr>
      <w:r w:rsidRPr="00FA6DE5">
        <w:rPr>
          <w:rFonts w:eastAsia="Calibri"/>
          <w:sz w:val="28"/>
          <w:szCs w:val="28"/>
          <w:lang w:eastAsia="en-US"/>
        </w:rPr>
        <w:t xml:space="preserve">[18] </w:t>
      </w:r>
      <w:proofErr w:type="spellStart"/>
      <w:r w:rsidRPr="00FA6DE5">
        <w:rPr>
          <w:rFonts w:eastAsia="Calibri"/>
          <w:sz w:val="22"/>
          <w:szCs w:val="22"/>
          <w:lang w:eastAsia="en-GB"/>
        </w:rPr>
        <w:t>Arnell</w:t>
      </w:r>
      <w:proofErr w:type="spellEnd"/>
      <w:r w:rsidRPr="00FA6DE5">
        <w:rPr>
          <w:rFonts w:eastAsia="Calibri"/>
          <w:sz w:val="22"/>
          <w:szCs w:val="22"/>
          <w:lang w:eastAsia="en-GB"/>
        </w:rPr>
        <w:t xml:space="preserve"> N., 2004. “Climate Change and Global water resources: SRESS scenarios and socioeconomic scenarios, Global Environmental Change, 14, 31-52. http://life.bio.sunysb.edu/~spgp/2004_03_09/climate%20change%20and%20global%20water%20resources-Global%20Environmental%20Change.pdf</w:t>
      </w:r>
    </w:p>
    <w:p w:rsidR="00FA6DE5" w:rsidRPr="00FA6DE5" w:rsidRDefault="00FA6DE5" w:rsidP="00FA6DE5">
      <w:pPr>
        <w:widowControl/>
        <w:adjustRightInd/>
        <w:spacing w:line="240" w:lineRule="auto"/>
        <w:ind w:left="851" w:hanging="851"/>
        <w:textAlignment w:val="auto"/>
        <w:rPr>
          <w:rFonts w:eastAsia="Calibri"/>
          <w:sz w:val="22"/>
          <w:szCs w:val="22"/>
          <w:lang w:eastAsia="en-GB"/>
        </w:rPr>
      </w:pPr>
      <w:r w:rsidRPr="00FA6DE5">
        <w:rPr>
          <w:rFonts w:eastAsia="Calibri"/>
          <w:sz w:val="28"/>
          <w:szCs w:val="28"/>
          <w:lang w:eastAsia="en-US"/>
        </w:rPr>
        <w:t xml:space="preserve">[19] </w:t>
      </w:r>
      <w:r w:rsidRPr="00FA6DE5">
        <w:rPr>
          <w:rFonts w:eastAsia="Calibri"/>
          <w:sz w:val="22"/>
          <w:szCs w:val="22"/>
          <w:lang w:eastAsia="en-GB"/>
        </w:rPr>
        <w:t>AFAD. “Impact of Climate Change on Arab Countries: Report 2009. http://www.afedonline.org/afedreport09</w:t>
      </w:r>
    </w:p>
    <w:p w:rsidR="00FA6DE5" w:rsidRPr="00FA6DE5" w:rsidRDefault="00FA6DE5" w:rsidP="00FA6DE5">
      <w:pPr>
        <w:widowControl/>
        <w:adjustRightInd/>
        <w:spacing w:line="240" w:lineRule="auto"/>
        <w:ind w:left="851" w:hanging="851"/>
        <w:textAlignment w:val="auto"/>
        <w:rPr>
          <w:rFonts w:eastAsia="Calibri"/>
          <w:sz w:val="22"/>
          <w:szCs w:val="22"/>
          <w:lang w:eastAsia="en-GB"/>
        </w:rPr>
      </w:pPr>
      <w:r w:rsidRPr="00FA6DE5">
        <w:rPr>
          <w:rFonts w:eastAsia="Calibri"/>
          <w:sz w:val="28"/>
          <w:szCs w:val="28"/>
          <w:lang w:eastAsia="en-US"/>
        </w:rPr>
        <w:lastRenderedPageBreak/>
        <w:t xml:space="preserve"> [20] </w:t>
      </w:r>
      <w:proofErr w:type="spellStart"/>
      <w:r w:rsidRPr="00FA6DE5">
        <w:rPr>
          <w:rFonts w:eastAsia="Calibri"/>
          <w:sz w:val="22"/>
          <w:szCs w:val="22"/>
          <w:lang w:eastAsia="en-GB"/>
        </w:rPr>
        <w:t>Ternik</w:t>
      </w:r>
      <w:proofErr w:type="spellEnd"/>
      <w:r w:rsidRPr="00FA6DE5">
        <w:rPr>
          <w:rFonts w:eastAsia="Calibri"/>
          <w:sz w:val="22"/>
          <w:szCs w:val="22"/>
          <w:lang w:eastAsia="en-GB"/>
        </w:rPr>
        <w:t xml:space="preserve"> W, </w:t>
      </w:r>
      <w:proofErr w:type="spellStart"/>
      <w:r w:rsidRPr="00FA6DE5">
        <w:rPr>
          <w:rFonts w:eastAsia="Calibri"/>
          <w:sz w:val="22"/>
          <w:szCs w:val="22"/>
          <w:lang w:eastAsia="en-GB"/>
        </w:rPr>
        <w:t>Immerzeel</w:t>
      </w:r>
      <w:proofErr w:type="spellEnd"/>
      <w:r w:rsidRPr="00FA6DE5">
        <w:rPr>
          <w:rFonts w:eastAsia="Calibri"/>
          <w:sz w:val="22"/>
          <w:szCs w:val="22"/>
          <w:lang w:eastAsia="en-GB"/>
        </w:rPr>
        <w:t xml:space="preserve"> W, </w:t>
      </w:r>
      <w:proofErr w:type="spellStart"/>
      <w:r w:rsidRPr="00FA6DE5">
        <w:rPr>
          <w:rFonts w:eastAsia="Calibri"/>
          <w:sz w:val="22"/>
          <w:szCs w:val="22"/>
          <w:lang w:eastAsia="en-GB"/>
        </w:rPr>
        <w:t>Droogen</w:t>
      </w:r>
      <w:proofErr w:type="spellEnd"/>
      <w:r w:rsidRPr="00FA6DE5">
        <w:rPr>
          <w:rFonts w:eastAsia="Calibri"/>
          <w:sz w:val="22"/>
          <w:szCs w:val="22"/>
          <w:lang w:eastAsia="en-GB"/>
        </w:rPr>
        <w:t xml:space="preserve"> P., 2013. </w:t>
      </w:r>
      <w:proofErr w:type="gramStart"/>
      <w:r w:rsidRPr="00FA6DE5">
        <w:rPr>
          <w:rFonts w:eastAsia="Calibri"/>
          <w:sz w:val="22"/>
          <w:szCs w:val="22"/>
          <w:lang w:eastAsia="en-GB"/>
        </w:rPr>
        <w:t>" Climate</w:t>
      </w:r>
      <w:proofErr w:type="gramEnd"/>
      <w:r w:rsidRPr="00FA6DE5">
        <w:rPr>
          <w:rFonts w:eastAsia="Calibri"/>
          <w:sz w:val="22"/>
          <w:szCs w:val="22"/>
          <w:lang w:eastAsia="en-GB"/>
        </w:rPr>
        <w:t xml:space="preserve"> Change Projections of Precipitation and Reference Evapotranspiration for the Middle East and Northern Africa until 2050". Int. J. Climatology.2013                           </w:t>
      </w:r>
      <w:hyperlink r:id="rId55" w:history="1">
        <w:r w:rsidRPr="00FA6DE5">
          <w:rPr>
            <w:rFonts w:eastAsia="Calibri"/>
            <w:sz w:val="22"/>
            <w:szCs w:val="22"/>
            <w:u w:val="single"/>
            <w:lang w:eastAsia="en-GB"/>
          </w:rPr>
          <w:t>http://www.futurewater.eu/wp-content/uploads/2013/05/Terink_MENA_JOC.pdf</w:t>
        </w:r>
      </w:hyperlink>
      <w:r w:rsidRPr="00FA6DE5">
        <w:rPr>
          <w:rFonts w:eastAsia="Calibri"/>
          <w:sz w:val="22"/>
          <w:szCs w:val="22"/>
          <w:lang w:eastAsia="en-GB"/>
        </w:rPr>
        <w:t xml:space="preserve"> </w:t>
      </w:r>
    </w:p>
    <w:p w:rsidR="00FA6DE5" w:rsidRPr="00FA6DE5" w:rsidRDefault="00FA6DE5" w:rsidP="00FA6DE5">
      <w:pPr>
        <w:widowControl/>
        <w:adjustRightInd/>
        <w:spacing w:line="240" w:lineRule="auto"/>
        <w:ind w:left="851" w:hanging="851"/>
        <w:textAlignment w:val="auto"/>
        <w:rPr>
          <w:rFonts w:eastAsia="Calibri"/>
          <w:sz w:val="22"/>
          <w:szCs w:val="22"/>
          <w:lang w:eastAsia="en-GB"/>
        </w:rPr>
      </w:pPr>
      <w:r w:rsidRPr="00FA6DE5">
        <w:rPr>
          <w:rFonts w:eastAsia="Calibri"/>
          <w:sz w:val="28"/>
          <w:szCs w:val="28"/>
          <w:lang w:eastAsia="en-US"/>
        </w:rPr>
        <w:t xml:space="preserve">[21] </w:t>
      </w:r>
      <w:r w:rsidRPr="00FA6DE5">
        <w:rPr>
          <w:rFonts w:eastAsia="Calibri"/>
          <w:sz w:val="22"/>
          <w:szCs w:val="22"/>
          <w:lang w:eastAsia="en-GB"/>
        </w:rPr>
        <w:t xml:space="preserve">Chenoweth J, </w:t>
      </w:r>
      <w:proofErr w:type="spellStart"/>
      <w:r w:rsidRPr="00FA6DE5">
        <w:rPr>
          <w:rFonts w:eastAsia="Calibri"/>
          <w:sz w:val="22"/>
          <w:szCs w:val="22"/>
          <w:lang w:eastAsia="en-GB"/>
        </w:rPr>
        <w:t>Hadjinicolaou</w:t>
      </w:r>
      <w:proofErr w:type="spellEnd"/>
      <w:r w:rsidRPr="00FA6DE5">
        <w:rPr>
          <w:rFonts w:eastAsia="Calibri"/>
          <w:sz w:val="22"/>
          <w:szCs w:val="22"/>
          <w:lang w:eastAsia="en-GB"/>
        </w:rPr>
        <w:t xml:space="preserve">, P, </w:t>
      </w:r>
      <w:proofErr w:type="spellStart"/>
      <w:r w:rsidRPr="00FA6DE5">
        <w:rPr>
          <w:rFonts w:eastAsia="Calibri"/>
          <w:sz w:val="22"/>
          <w:szCs w:val="22"/>
          <w:lang w:eastAsia="en-GB"/>
        </w:rPr>
        <w:t>Bruggeman</w:t>
      </w:r>
      <w:proofErr w:type="spellEnd"/>
      <w:r w:rsidRPr="00FA6DE5">
        <w:rPr>
          <w:rFonts w:eastAsia="Calibri"/>
          <w:sz w:val="22"/>
          <w:szCs w:val="22"/>
          <w:lang w:eastAsia="en-GB"/>
        </w:rPr>
        <w:t xml:space="preserve"> A, </w:t>
      </w:r>
      <w:proofErr w:type="spellStart"/>
      <w:r w:rsidRPr="00FA6DE5">
        <w:rPr>
          <w:rFonts w:eastAsia="Calibri"/>
          <w:sz w:val="22"/>
          <w:szCs w:val="22"/>
          <w:lang w:eastAsia="en-GB"/>
        </w:rPr>
        <w:t>Lelieveld</w:t>
      </w:r>
      <w:proofErr w:type="spellEnd"/>
      <w:r w:rsidRPr="00FA6DE5">
        <w:rPr>
          <w:rFonts w:eastAsia="Calibri"/>
          <w:sz w:val="22"/>
          <w:szCs w:val="22"/>
          <w:lang w:eastAsia="en-GB"/>
        </w:rPr>
        <w:t xml:space="preserve"> J, Levin z, Lange M, </w:t>
      </w:r>
      <w:proofErr w:type="spellStart"/>
      <w:r w:rsidRPr="00FA6DE5">
        <w:rPr>
          <w:rFonts w:eastAsia="Calibri"/>
          <w:sz w:val="22"/>
          <w:szCs w:val="22"/>
          <w:lang w:eastAsia="en-GB"/>
        </w:rPr>
        <w:t>Xoplaki</w:t>
      </w:r>
      <w:proofErr w:type="spellEnd"/>
      <w:r w:rsidRPr="00FA6DE5">
        <w:rPr>
          <w:rFonts w:eastAsia="Calibri"/>
          <w:sz w:val="22"/>
          <w:szCs w:val="22"/>
          <w:lang w:eastAsia="en-GB"/>
        </w:rPr>
        <w:t xml:space="preserve"> E, </w:t>
      </w:r>
      <w:proofErr w:type="spellStart"/>
      <w:r w:rsidRPr="00FA6DE5">
        <w:rPr>
          <w:rFonts w:eastAsia="Calibri"/>
          <w:sz w:val="22"/>
          <w:szCs w:val="22"/>
          <w:lang w:eastAsia="en-GB"/>
        </w:rPr>
        <w:t>Hadjikakou</w:t>
      </w:r>
      <w:proofErr w:type="spellEnd"/>
      <w:r w:rsidRPr="00FA6DE5">
        <w:rPr>
          <w:rFonts w:eastAsia="Calibri"/>
          <w:sz w:val="22"/>
          <w:szCs w:val="22"/>
          <w:lang w:eastAsia="en-GB"/>
        </w:rPr>
        <w:t xml:space="preserve"> M., 2011.  “Impact of climate change on the water resources of the eastern Mediterranean and Middle East region: Modeled 21st-century changes and implications”.  AGU, Water Resources Research, 47, 6, 1-18.       </w:t>
      </w:r>
      <w:hyperlink r:id="rId56" w:history="1">
        <w:r w:rsidRPr="00FA6DE5">
          <w:rPr>
            <w:rFonts w:eastAsia="Calibri"/>
            <w:sz w:val="22"/>
            <w:szCs w:val="22"/>
            <w:u w:val="single"/>
            <w:lang w:eastAsia="en-GB"/>
          </w:rPr>
          <w:t>http://onlinelibrary.wiley.com/doi/10.1029/2010WR010269/full</w:t>
        </w:r>
      </w:hyperlink>
      <w:r w:rsidRPr="00FA6DE5">
        <w:rPr>
          <w:rFonts w:eastAsia="Calibri"/>
          <w:sz w:val="22"/>
          <w:szCs w:val="22"/>
          <w:lang w:eastAsia="en-GB"/>
        </w:rPr>
        <w:t xml:space="preserve"> </w:t>
      </w:r>
    </w:p>
    <w:p w:rsidR="00FA6DE5" w:rsidRPr="00FA6DE5" w:rsidRDefault="00FA6DE5" w:rsidP="00FA6DE5">
      <w:pPr>
        <w:widowControl/>
        <w:adjustRightInd/>
        <w:spacing w:line="240" w:lineRule="auto"/>
        <w:ind w:left="851" w:hanging="851"/>
        <w:textAlignment w:val="auto"/>
        <w:rPr>
          <w:rFonts w:eastAsia="Calibri"/>
          <w:sz w:val="22"/>
          <w:szCs w:val="22"/>
          <w:lang w:eastAsia="en-GB"/>
        </w:rPr>
      </w:pPr>
      <w:r w:rsidRPr="00FA6DE5">
        <w:rPr>
          <w:rFonts w:eastAsia="Calibri"/>
          <w:sz w:val="28"/>
          <w:szCs w:val="28"/>
          <w:lang w:eastAsia="en-US"/>
        </w:rPr>
        <w:t>[22</w:t>
      </w:r>
      <w:proofErr w:type="gramStart"/>
      <w:r w:rsidRPr="00FA6DE5">
        <w:rPr>
          <w:rFonts w:eastAsia="Calibri"/>
          <w:sz w:val="28"/>
          <w:szCs w:val="28"/>
          <w:lang w:eastAsia="en-US"/>
        </w:rPr>
        <w:t>]</w:t>
      </w:r>
      <w:r w:rsidRPr="00FA6DE5">
        <w:rPr>
          <w:rFonts w:eastAsia="Calibri"/>
          <w:noProof/>
          <w:sz w:val="28"/>
          <w:szCs w:val="28"/>
          <w:lang w:eastAsia="en-GB"/>
        </w:rPr>
        <w:t xml:space="preserve"> </w:t>
      </w:r>
      <w:r w:rsidRPr="00FA6DE5">
        <w:rPr>
          <w:rFonts w:eastAsia="Calibri"/>
          <w:sz w:val="22"/>
          <w:szCs w:val="22"/>
          <w:lang w:eastAsia="en-GB"/>
        </w:rPr>
        <w:t xml:space="preserve"> </w:t>
      </w:r>
      <w:proofErr w:type="spellStart"/>
      <w:r w:rsidRPr="00FA6DE5">
        <w:rPr>
          <w:rFonts w:eastAsia="Calibri"/>
          <w:sz w:val="22"/>
          <w:szCs w:val="22"/>
          <w:lang w:eastAsia="en-GB"/>
        </w:rPr>
        <w:t>Lelieveld</w:t>
      </w:r>
      <w:proofErr w:type="spellEnd"/>
      <w:proofErr w:type="gramEnd"/>
      <w:r w:rsidRPr="00FA6DE5">
        <w:rPr>
          <w:rFonts w:eastAsia="Calibri"/>
          <w:sz w:val="22"/>
          <w:szCs w:val="22"/>
          <w:lang w:eastAsia="en-GB"/>
        </w:rPr>
        <w:t xml:space="preserve"> J, </w:t>
      </w:r>
      <w:proofErr w:type="spellStart"/>
      <w:r w:rsidRPr="00FA6DE5">
        <w:rPr>
          <w:rFonts w:eastAsia="Calibri"/>
          <w:sz w:val="22"/>
          <w:szCs w:val="22"/>
          <w:lang w:eastAsia="en-GB"/>
        </w:rPr>
        <w:t>Hadjinicolaou</w:t>
      </w:r>
      <w:proofErr w:type="spellEnd"/>
      <w:r w:rsidRPr="00FA6DE5">
        <w:rPr>
          <w:rFonts w:eastAsia="Calibri"/>
          <w:sz w:val="22"/>
          <w:szCs w:val="22"/>
          <w:lang w:eastAsia="en-GB"/>
        </w:rPr>
        <w:t xml:space="preserve">, P., </w:t>
      </w:r>
      <w:proofErr w:type="spellStart"/>
      <w:r w:rsidRPr="00FA6DE5">
        <w:rPr>
          <w:rFonts w:eastAsia="Calibri"/>
          <w:sz w:val="22"/>
          <w:szCs w:val="22"/>
          <w:lang w:eastAsia="en-GB"/>
        </w:rPr>
        <w:t>Kostopoulou</w:t>
      </w:r>
      <w:proofErr w:type="spellEnd"/>
      <w:r w:rsidRPr="00FA6DE5">
        <w:rPr>
          <w:rFonts w:eastAsia="Calibri"/>
          <w:sz w:val="22"/>
          <w:szCs w:val="22"/>
          <w:lang w:eastAsia="en-GB"/>
        </w:rPr>
        <w:t>, E., Chenoweth, J., El </w:t>
      </w:r>
      <w:proofErr w:type="spellStart"/>
      <w:r w:rsidRPr="00FA6DE5">
        <w:rPr>
          <w:rFonts w:eastAsia="Calibri"/>
          <w:sz w:val="22"/>
          <w:szCs w:val="22"/>
          <w:lang w:eastAsia="en-GB"/>
        </w:rPr>
        <w:t>Maayar</w:t>
      </w:r>
      <w:proofErr w:type="spellEnd"/>
      <w:r w:rsidRPr="00FA6DE5">
        <w:rPr>
          <w:rFonts w:eastAsia="Calibri"/>
          <w:sz w:val="22"/>
          <w:szCs w:val="22"/>
          <w:lang w:eastAsia="en-GB"/>
        </w:rPr>
        <w:t xml:space="preserve"> M., Giannakopoulos C., </w:t>
      </w:r>
      <w:proofErr w:type="spellStart"/>
      <w:r w:rsidRPr="00FA6DE5">
        <w:rPr>
          <w:rFonts w:eastAsia="Calibri"/>
          <w:sz w:val="22"/>
          <w:szCs w:val="22"/>
          <w:lang w:eastAsia="en-GB"/>
        </w:rPr>
        <w:t>Hannides</w:t>
      </w:r>
      <w:proofErr w:type="spellEnd"/>
      <w:r w:rsidRPr="00FA6DE5">
        <w:rPr>
          <w:rFonts w:eastAsia="Calibri"/>
          <w:sz w:val="22"/>
          <w:szCs w:val="22"/>
          <w:lang w:eastAsia="en-GB"/>
        </w:rPr>
        <w:t>, C., Lange, M. A., </w:t>
      </w:r>
      <w:proofErr w:type="spellStart"/>
      <w:r w:rsidRPr="00FA6DE5">
        <w:rPr>
          <w:rFonts w:eastAsia="Calibri"/>
          <w:sz w:val="22"/>
          <w:szCs w:val="22"/>
          <w:lang w:eastAsia="en-GB"/>
        </w:rPr>
        <w:t>Tanarhte</w:t>
      </w:r>
      <w:proofErr w:type="spellEnd"/>
      <w:r w:rsidRPr="00FA6DE5">
        <w:rPr>
          <w:rFonts w:eastAsia="Calibri"/>
          <w:sz w:val="22"/>
          <w:szCs w:val="22"/>
          <w:lang w:eastAsia="en-GB"/>
        </w:rPr>
        <w:t>, M., </w:t>
      </w:r>
      <w:proofErr w:type="spellStart"/>
      <w:r w:rsidRPr="00FA6DE5">
        <w:rPr>
          <w:rFonts w:eastAsia="Calibri"/>
          <w:sz w:val="22"/>
          <w:szCs w:val="22"/>
          <w:lang w:eastAsia="en-GB"/>
        </w:rPr>
        <w:t>Tyrlis</w:t>
      </w:r>
      <w:proofErr w:type="spellEnd"/>
      <w:r w:rsidRPr="00FA6DE5">
        <w:rPr>
          <w:rFonts w:eastAsia="Calibri"/>
          <w:sz w:val="22"/>
          <w:szCs w:val="22"/>
          <w:lang w:eastAsia="en-GB"/>
        </w:rPr>
        <w:t xml:space="preserve">, E., </w:t>
      </w:r>
      <w:proofErr w:type="spellStart"/>
      <w:r w:rsidRPr="00FA6DE5">
        <w:rPr>
          <w:rFonts w:eastAsia="Calibri"/>
          <w:sz w:val="22"/>
          <w:szCs w:val="22"/>
          <w:lang w:eastAsia="en-GB"/>
        </w:rPr>
        <w:t>andXoplaki</w:t>
      </w:r>
      <w:proofErr w:type="spellEnd"/>
      <w:r w:rsidRPr="00FA6DE5">
        <w:rPr>
          <w:rFonts w:eastAsia="Calibri"/>
          <w:sz w:val="22"/>
          <w:szCs w:val="22"/>
          <w:lang w:eastAsia="en-GB"/>
        </w:rPr>
        <w:t>, E.,2012.  “Climate change and impacts in the Eastern Mediterranean and the Middle East”,</w:t>
      </w:r>
      <w:r w:rsidRPr="00FA6DE5">
        <w:rPr>
          <w:rFonts w:eastAsia="Calibri"/>
          <w:sz w:val="22"/>
          <w:szCs w:val="22"/>
          <w:lang w:eastAsia="en-US"/>
        </w:rPr>
        <w:t xml:space="preserve"> J. </w:t>
      </w:r>
      <w:r w:rsidRPr="00FA6DE5">
        <w:rPr>
          <w:rFonts w:eastAsia="Calibri"/>
          <w:sz w:val="22"/>
          <w:szCs w:val="22"/>
          <w:lang w:eastAsia="en-GB"/>
        </w:rPr>
        <w:t xml:space="preserve">Climatic </w:t>
      </w:r>
      <w:proofErr w:type="gramStart"/>
      <w:r w:rsidRPr="00FA6DE5">
        <w:rPr>
          <w:rFonts w:eastAsia="Calibri"/>
          <w:sz w:val="22"/>
          <w:szCs w:val="22"/>
          <w:lang w:eastAsia="en-GB"/>
        </w:rPr>
        <w:t>Change ,</w:t>
      </w:r>
      <w:proofErr w:type="gramEnd"/>
      <w:r w:rsidRPr="00FA6DE5">
        <w:rPr>
          <w:rFonts w:eastAsia="Calibri"/>
          <w:sz w:val="22"/>
          <w:szCs w:val="22"/>
          <w:lang w:eastAsia="en-GB"/>
        </w:rPr>
        <w:t xml:space="preserve"> 114,3-4, 667-687. </w:t>
      </w:r>
      <w:hyperlink r:id="rId57" w:history="1">
        <w:r w:rsidRPr="00FA6DE5">
          <w:rPr>
            <w:rFonts w:eastAsia="Calibri"/>
            <w:sz w:val="22"/>
            <w:szCs w:val="22"/>
            <w:u w:val="single"/>
            <w:lang w:eastAsia="en-GB"/>
          </w:rPr>
          <w:t>https://link.springer.com/article/10.1007/s10584-012-0418-4</w:t>
        </w:r>
      </w:hyperlink>
      <w:r w:rsidRPr="00FA6DE5">
        <w:rPr>
          <w:rFonts w:eastAsia="Calibri"/>
          <w:sz w:val="22"/>
          <w:szCs w:val="22"/>
          <w:lang w:eastAsia="en-GB"/>
        </w:rPr>
        <w:t xml:space="preserve"> </w:t>
      </w:r>
    </w:p>
    <w:p w:rsidR="00FA6DE5" w:rsidRPr="00FA6DE5" w:rsidRDefault="00FA6DE5" w:rsidP="00FA6DE5">
      <w:pPr>
        <w:widowControl/>
        <w:adjustRightInd/>
        <w:spacing w:line="240" w:lineRule="auto"/>
        <w:ind w:left="851" w:hanging="851"/>
        <w:textAlignment w:val="auto"/>
        <w:rPr>
          <w:rFonts w:eastAsia="Calibri"/>
          <w:sz w:val="22"/>
          <w:szCs w:val="22"/>
          <w:lang w:eastAsia="en-GB"/>
        </w:rPr>
      </w:pPr>
      <w:r w:rsidRPr="00FA6DE5">
        <w:rPr>
          <w:rFonts w:eastAsia="Calibri"/>
          <w:sz w:val="28"/>
          <w:szCs w:val="28"/>
          <w:lang w:eastAsia="en-US"/>
        </w:rPr>
        <w:t>[23</w:t>
      </w:r>
      <w:proofErr w:type="gramStart"/>
      <w:r w:rsidRPr="00FA6DE5">
        <w:rPr>
          <w:rFonts w:eastAsia="Calibri"/>
          <w:sz w:val="28"/>
          <w:szCs w:val="28"/>
          <w:lang w:eastAsia="en-US"/>
        </w:rPr>
        <w:t>]</w:t>
      </w:r>
      <w:r w:rsidRPr="00FA6DE5">
        <w:rPr>
          <w:rFonts w:eastAsia="Calibri"/>
          <w:noProof/>
          <w:sz w:val="28"/>
          <w:szCs w:val="28"/>
          <w:lang w:eastAsia="en-GB"/>
        </w:rPr>
        <w:t xml:space="preserve">  </w:t>
      </w:r>
      <w:proofErr w:type="spellStart"/>
      <w:r w:rsidRPr="00FA6DE5">
        <w:rPr>
          <w:rFonts w:eastAsia="Calibri"/>
          <w:sz w:val="22"/>
          <w:szCs w:val="22"/>
          <w:lang w:eastAsia="en-GB"/>
        </w:rPr>
        <w:t>Kitoh</w:t>
      </w:r>
      <w:proofErr w:type="spellEnd"/>
      <w:proofErr w:type="gramEnd"/>
      <w:r w:rsidRPr="00FA6DE5">
        <w:rPr>
          <w:rFonts w:eastAsia="Calibri"/>
          <w:sz w:val="22"/>
          <w:szCs w:val="22"/>
          <w:lang w:eastAsia="en-GB"/>
        </w:rPr>
        <w:t xml:space="preserve"> A, </w:t>
      </w:r>
      <w:proofErr w:type="spellStart"/>
      <w:r w:rsidRPr="00FA6DE5">
        <w:rPr>
          <w:rFonts w:eastAsia="Calibri"/>
          <w:sz w:val="22"/>
          <w:szCs w:val="22"/>
          <w:lang w:eastAsia="en-GB"/>
        </w:rPr>
        <w:t>Yatagal</w:t>
      </w:r>
      <w:proofErr w:type="spellEnd"/>
      <w:r w:rsidRPr="00FA6DE5">
        <w:rPr>
          <w:rFonts w:eastAsia="Calibri"/>
          <w:sz w:val="22"/>
          <w:szCs w:val="22"/>
          <w:lang w:eastAsia="en-GB"/>
        </w:rPr>
        <w:t xml:space="preserve"> A, Alpert P.,2008. “First Super-high- Resolution Model Projection that the ancient will disappear in this century". Hydrological Research Letters, 2</w:t>
      </w:r>
      <w:proofErr w:type="gramStart"/>
      <w:r w:rsidRPr="00FA6DE5">
        <w:rPr>
          <w:rFonts w:eastAsia="Calibri"/>
          <w:sz w:val="22"/>
          <w:szCs w:val="22"/>
          <w:lang w:eastAsia="en-GB"/>
        </w:rPr>
        <w:t>,1</w:t>
      </w:r>
      <w:proofErr w:type="gramEnd"/>
      <w:r w:rsidRPr="00FA6DE5">
        <w:rPr>
          <w:rFonts w:eastAsia="Calibri"/>
          <w:sz w:val="22"/>
          <w:szCs w:val="22"/>
          <w:lang w:eastAsia="en-GB"/>
        </w:rPr>
        <w:t xml:space="preserve">-4. The Japan Society of Hydrology and water Resources. </w:t>
      </w:r>
      <w:hyperlink r:id="rId58" w:anchor="more-67" w:history="1">
        <w:r w:rsidRPr="00FA6DE5">
          <w:rPr>
            <w:rFonts w:eastAsia="Calibri"/>
            <w:sz w:val="22"/>
            <w:szCs w:val="22"/>
            <w:u w:val="single"/>
            <w:lang w:eastAsia="en-GB"/>
          </w:rPr>
          <w:t>http://www.hrljournal.org/archives/67#more-67</w:t>
        </w:r>
      </w:hyperlink>
      <w:r w:rsidRPr="00FA6DE5">
        <w:rPr>
          <w:rFonts w:eastAsia="Calibri"/>
          <w:sz w:val="22"/>
          <w:szCs w:val="22"/>
          <w:lang w:eastAsia="en-GB"/>
        </w:rPr>
        <w:t xml:space="preserve"> </w:t>
      </w:r>
    </w:p>
    <w:p w:rsidR="00FA6DE5" w:rsidRPr="00FA6DE5" w:rsidRDefault="00FA6DE5" w:rsidP="00FA6DE5">
      <w:pPr>
        <w:widowControl/>
        <w:adjustRightInd/>
        <w:spacing w:line="240" w:lineRule="auto"/>
        <w:ind w:left="851" w:hanging="851"/>
        <w:textAlignment w:val="auto"/>
        <w:rPr>
          <w:rFonts w:eastAsia="Calibri"/>
          <w:sz w:val="22"/>
          <w:szCs w:val="22"/>
          <w:lang w:eastAsia="en-GB"/>
        </w:rPr>
      </w:pPr>
      <w:r w:rsidRPr="00FA6DE5">
        <w:rPr>
          <w:rFonts w:eastAsia="Calibri"/>
          <w:sz w:val="28"/>
          <w:szCs w:val="28"/>
          <w:lang w:eastAsia="en-US"/>
        </w:rPr>
        <w:t>[24</w:t>
      </w:r>
      <w:proofErr w:type="gramStart"/>
      <w:r w:rsidRPr="00FA6DE5">
        <w:rPr>
          <w:rFonts w:eastAsia="Calibri"/>
          <w:sz w:val="28"/>
          <w:szCs w:val="28"/>
          <w:lang w:eastAsia="en-US"/>
        </w:rPr>
        <w:t>]</w:t>
      </w:r>
      <w:r w:rsidRPr="00FA6DE5">
        <w:rPr>
          <w:rFonts w:eastAsia="Calibri"/>
          <w:noProof/>
          <w:sz w:val="28"/>
          <w:szCs w:val="28"/>
          <w:lang w:eastAsia="en-GB"/>
        </w:rPr>
        <w:t xml:space="preserve">  </w:t>
      </w:r>
      <w:proofErr w:type="spellStart"/>
      <w:r w:rsidRPr="00FA6DE5">
        <w:rPr>
          <w:rFonts w:eastAsia="Calibri"/>
          <w:sz w:val="22"/>
          <w:szCs w:val="22"/>
          <w:lang w:eastAsia="en-GB"/>
        </w:rPr>
        <w:t>Weiß</w:t>
      </w:r>
      <w:proofErr w:type="spellEnd"/>
      <w:proofErr w:type="gramEnd"/>
      <w:r w:rsidRPr="00FA6DE5">
        <w:rPr>
          <w:rFonts w:eastAsia="Calibri"/>
          <w:sz w:val="22"/>
          <w:szCs w:val="22"/>
          <w:lang w:eastAsia="en-GB"/>
        </w:rPr>
        <w:t xml:space="preserve">, M., </w:t>
      </w:r>
      <w:proofErr w:type="spellStart"/>
      <w:r w:rsidRPr="00FA6DE5">
        <w:rPr>
          <w:rFonts w:eastAsia="Calibri"/>
          <w:sz w:val="22"/>
          <w:szCs w:val="22"/>
          <w:lang w:eastAsia="en-GB"/>
        </w:rPr>
        <w:t>Flörke</w:t>
      </w:r>
      <w:proofErr w:type="spellEnd"/>
      <w:r w:rsidRPr="00FA6DE5">
        <w:rPr>
          <w:rFonts w:eastAsia="Calibri"/>
          <w:sz w:val="22"/>
          <w:szCs w:val="22"/>
          <w:lang w:eastAsia="en-GB"/>
        </w:rPr>
        <w:t xml:space="preserve">, M., </w:t>
      </w:r>
      <w:proofErr w:type="spellStart"/>
      <w:r w:rsidRPr="00FA6DE5">
        <w:rPr>
          <w:rFonts w:eastAsia="Calibri"/>
          <w:sz w:val="22"/>
          <w:szCs w:val="22"/>
          <w:lang w:eastAsia="en-GB"/>
        </w:rPr>
        <w:t>Menzel</w:t>
      </w:r>
      <w:proofErr w:type="spellEnd"/>
      <w:r w:rsidRPr="00FA6DE5">
        <w:rPr>
          <w:rFonts w:eastAsia="Calibri"/>
          <w:sz w:val="22"/>
          <w:szCs w:val="22"/>
          <w:lang w:eastAsia="en-GB"/>
        </w:rPr>
        <w:t xml:space="preserve">, L. and Alcamo, J., 2007. Model - Based Scenarios of Mediterranean droughts. Advances in Geosciences. 12, </w:t>
      </w:r>
      <w:proofErr w:type="spellStart"/>
      <w:r w:rsidRPr="00FA6DE5">
        <w:rPr>
          <w:rFonts w:eastAsia="Calibri"/>
          <w:sz w:val="22"/>
          <w:szCs w:val="22"/>
          <w:lang w:eastAsia="en-GB"/>
        </w:rPr>
        <w:t>Katlenburg</w:t>
      </w:r>
      <w:proofErr w:type="spellEnd"/>
      <w:r w:rsidRPr="00FA6DE5">
        <w:rPr>
          <w:rFonts w:eastAsia="Calibri"/>
          <w:sz w:val="22"/>
          <w:szCs w:val="22"/>
          <w:lang w:eastAsia="en-GB"/>
        </w:rPr>
        <w:t xml:space="preserve">-Lindau, Germany, Copernicus Publications, 145-51.                                                            </w:t>
      </w:r>
      <w:hyperlink r:id="rId59" w:history="1">
        <w:r w:rsidRPr="00FA6DE5">
          <w:rPr>
            <w:rFonts w:eastAsia="Calibri"/>
            <w:sz w:val="22"/>
            <w:szCs w:val="22"/>
            <w:u w:val="single"/>
            <w:lang w:eastAsia="en-GB"/>
          </w:rPr>
          <w:t>http://www.adv-geosci.net/12/145/2007/adgeo-12-145-2007.pdf</w:t>
        </w:r>
      </w:hyperlink>
      <w:r w:rsidRPr="00FA6DE5">
        <w:rPr>
          <w:rFonts w:eastAsia="Calibri"/>
          <w:sz w:val="22"/>
          <w:szCs w:val="22"/>
          <w:lang w:eastAsia="en-GB"/>
        </w:rPr>
        <w:t xml:space="preserve"> </w:t>
      </w:r>
    </w:p>
    <w:p w:rsidR="00FA6DE5" w:rsidRPr="00FA6DE5" w:rsidRDefault="00FA6DE5" w:rsidP="00FA6DE5">
      <w:pPr>
        <w:widowControl/>
        <w:adjustRightInd/>
        <w:spacing w:line="240" w:lineRule="auto"/>
        <w:ind w:left="851" w:hanging="851"/>
        <w:textAlignment w:val="auto"/>
        <w:rPr>
          <w:rFonts w:eastAsia="Calibri"/>
          <w:sz w:val="22"/>
          <w:szCs w:val="22"/>
          <w:lang w:eastAsia="en-GB"/>
        </w:rPr>
      </w:pPr>
      <w:r w:rsidRPr="00FA6DE5">
        <w:rPr>
          <w:rFonts w:eastAsia="Calibri"/>
          <w:sz w:val="28"/>
          <w:szCs w:val="28"/>
          <w:lang w:eastAsia="en-US"/>
        </w:rPr>
        <w:t>[25]</w:t>
      </w:r>
      <w:r w:rsidRPr="00FA6DE5">
        <w:rPr>
          <w:rFonts w:eastAsia="Calibri"/>
          <w:noProof/>
          <w:sz w:val="28"/>
          <w:szCs w:val="28"/>
          <w:lang w:eastAsia="en-GB"/>
        </w:rPr>
        <w:t xml:space="preserve"> </w:t>
      </w:r>
      <w:proofErr w:type="spellStart"/>
      <w:r w:rsidRPr="00FA6DE5">
        <w:rPr>
          <w:rFonts w:eastAsia="Calibri"/>
          <w:sz w:val="22"/>
          <w:szCs w:val="22"/>
          <w:lang w:eastAsia="en-GB"/>
        </w:rPr>
        <w:t>Hurell</w:t>
      </w:r>
      <w:proofErr w:type="spellEnd"/>
      <w:r w:rsidRPr="00FA6DE5">
        <w:rPr>
          <w:rFonts w:eastAsia="Calibri"/>
          <w:sz w:val="22"/>
          <w:szCs w:val="22"/>
          <w:lang w:eastAsia="en-GB"/>
        </w:rPr>
        <w:t xml:space="preserve"> J., 2001. “The North Atlantic Oscillation: Climatic Significance and Environmental Impacts”. National Center for Atmospheric Research, 2001          http://www.iii.org/sites/default/files/docs/pdf/Hurrell.pdf</w:t>
      </w:r>
    </w:p>
    <w:p w:rsidR="00FA6DE5" w:rsidRPr="00FA6DE5" w:rsidRDefault="00FA6DE5" w:rsidP="00FA6DE5">
      <w:pPr>
        <w:widowControl/>
        <w:adjustRightInd/>
        <w:spacing w:line="240" w:lineRule="auto"/>
        <w:ind w:left="851" w:hanging="851"/>
        <w:textAlignment w:val="auto"/>
        <w:rPr>
          <w:rFonts w:eastAsia="Calibri"/>
          <w:sz w:val="22"/>
          <w:szCs w:val="22"/>
          <w:lang w:eastAsia="en-GB"/>
        </w:rPr>
      </w:pPr>
      <w:r w:rsidRPr="00FA6DE5">
        <w:rPr>
          <w:rFonts w:eastAsia="Calibri"/>
          <w:sz w:val="28"/>
          <w:szCs w:val="28"/>
          <w:lang w:eastAsia="en-US"/>
        </w:rPr>
        <w:t xml:space="preserve">[26] </w:t>
      </w:r>
      <w:r w:rsidRPr="00FA6DE5">
        <w:rPr>
          <w:rFonts w:eastAsia="Calibri"/>
          <w:sz w:val="22"/>
          <w:szCs w:val="22"/>
          <w:lang w:eastAsia="en-GB"/>
        </w:rPr>
        <w:t xml:space="preserve">Hemming D, </w:t>
      </w:r>
      <w:proofErr w:type="spellStart"/>
      <w:r w:rsidRPr="00FA6DE5">
        <w:rPr>
          <w:rFonts w:eastAsia="Calibri"/>
          <w:sz w:val="22"/>
          <w:szCs w:val="22"/>
          <w:lang w:eastAsia="en-GB"/>
        </w:rPr>
        <w:t>Buontempo</w:t>
      </w:r>
      <w:proofErr w:type="spellEnd"/>
      <w:r w:rsidRPr="00FA6DE5">
        <w:rPr>
          <w:rFonts w:eastAsia="Calibri"/>
          <w:sz w:val="22"/>
          <w:szCs w:val="22"/>
          <w:lang w:eastAsia="en-GB"/>
        </w:rPr>
        <w:t xml:space="preserve"> C, Burke E, Collins M, and Kaye N., 2010. “How uncertain are climate model projections of water availability indicators across the Middle East?”  Philosophical Transactions, the Royal Society.  Oct 2010. http://rsta.royalsocietypublishing.org/content/368/1931/5117 </w:t>
      </w:r>
    </w:p>
    <w:p w:rsidR="00FA6DE5" w:rsidRPr="00FA6DE5" w:rsidRDefault="00FA6DE5" w:rsidP="00FA6DE5">
      <w:pPr>
        <w:widowControl/>
        <w:adjustRightInd/>
        <w:spacing w:line="240" w:lineRule="auto"/>
        <w:ind w:left="851" w:hanging="851"/>
        <w:textAlignment w:val="auto"/>
        <w:rPr>
          <w:rFonts w:eastAsia="Calibri"/>
          <w:sz w:val="22"/>
          <w:szCs w:val="22"/>
          <w:lang w:eastAsia="en-GB"/>
        </w:rPr>
      </w:pPr>
      <w:r w:rsidRPr="00FA6DE5">
        <w:rPr>
          <w:rFonts w:eastAsia="Calibri"/>
          <w:sz w:val="28"/>
          <w:szCs w:val="28"/>
          <w:lang w:eastAsia="en-US"/>
        </w:rPr>
        <w:t xml:space="preserve">[27] </w:t>
      </w:r>
      <w:r w:rsidRPr="00FA6DE5">
        <w:rPr>
          <w:rFonts w:eastAsia="Calibri"/>
          <w:sz w:val="22"/>
          <w:szCs w:val="22"/>
          <w:lang w:eastAsia="en-GB"/>
        </w:rPr>
        <w:t>ESCWA-BGR, 2013. "Inventory of Shared Water Resources in Western Asia”. https://www.academia.edu/6814751/Inventory_of_Shared_Water_Resources_in_Western_</w:t>
      </w:r>
      <w:proofErr w:type="gramStart"/>
      <w:r w:rsidRPr="00FA6DE5">
        <w:rPr>
          <w:rFonts w:eastAsia="Calibri"/>
          <w:sz w:val="22"/>
          <w:szCs w:val="22"/>
          <w:lang w:eastAsia="en-GB"/>
        </w:rPr>
        <w:t>Asia .</w:t>
      </w:r>
      <w:proofErr w:type="gramEnd"/>
    </w:p>
    <w:p w:rsidR="00FA6DE5" w:rsidRPr="00FA6DE5" w:rsidRDefault="00FA6DE5" w:rsidP="00FA6DE5">
      <w:pPr>
        <w:widowControl/>
        <w:adjustRightInd/>
        <w:spacing w:line="240" w:lineRule="auto"/>
        <w:ind w:left="851" w:hanging="851"/>
        <w:textAlignment w:val="auto"/>
        <w:rPr>
          <w:rFonts w:eastAsia="Calibri"/>
          <w:sz w:val="22"/>
          <w:szCs w:val="22"/>
          <w:lang w:eastAsia="en-GB"/>
        </w:rPr>
      </w:pPr>
      <w:r w:rsidRPr="00FA6DE5">
        <w:rPr>
          <w:rFonts w:eastAsia="Calibri"/>
          <w:sz w:val="28"/>
          <w:szCs w:val="28"/>
          <w:lang w:eastAsia="en-US"/>
        </w:rPr>
        <w:t xml:space="preserve">[28] </w:t>
      </w:r>
      <w:r w:rsidRPr="00FA6DE5">
        <w:rPr>
          <w:rFonts w:eastAsia="Calibri"/>
          <w:sz w:val="22"/>
          <w:szCs w:val="22"/>
          <w:lang w:eastAsia="en-GB"/>
        </w:rPr>
        <w:t>Evans P.</w:t>
      </w:r>
      <w:proofErr w:type="gramStart"/>
      <w:r w:rsidRPr="00FA6DE5">
        <w:rPr>
          <w:rFonts w:eastAsia="Calibri"/>
          <w:sz w:val="22"/>
          <w:szCs w:val="22"/>
          <w:lang w:eastAsia="en-GB"/>
        </w:rPr>
        <w:t>,2009</w:t>
      </w:r>
      <w:proofErr w:type="gramEnd"/>
      <w:r w:rsidRPr="00FA6DE5">
        <w:rPr>
          <w:rFonts w:eastAsia="Calibri"/>
          <w:sz w:val="22"/>
          <w:szCs w:val="22"/>
          <w:lang w:eastAsia="en-GB"/>
        </w:rPr>
        <w:t>. “21st-century climate change in the Middle East”. Springer Link.     Vol. 92, Issue 3-4 Feb.2009.                    https://link.springer.com/article/10.1007/s10584-008-9438-5</w:t>
      </w:r>
    </w:p>
    <w:p w:rsidR="00FA6DE5" w:rsidRPr="00FA6DE5" w:rsidRDefault="00FA6DE5" w:rsidP="00FA6DE5">
      <w:pPr>
        <w:widowControl/>
        <w:adjustRightInd/>
        <w:spacing w:line="240" w:lineRule="auto"/>
        <w:ind w:left="851" w:hanging="851"/>
        <w:textAlignment w:val="auto"/>
        <w:rPr>
          <w:rFonts w:eastAsia="Calibri"/>
          <w:sz w:val="22"/>
          <w:szCs w:val="22"/>
          <w:lang w:eastAsia="en-GB"/>
        </w:rPr>
      </w:pPr>
      <w:r w:rsidRPr="00FA6DE5">
        <w:rPr>
          <w:rFonts w:eastAsia="Calibri"/>
          <w:sz w:val="28"/>
          <w:szCs w:val="28"/>
          <w:lang w:eastAsia="en-US"/>
        </w:rPr>
        <w:t xml:space="preserve">[29] </w:t>
      </w:r>
      <w:r w:rsidRPr="00FA6DE5">
        <w:rPr>
          <w:rFonts w:eastAsia="Calibri"/>
          <w:sz w:val="22"/>
          <w:szCs w:val="22"/>
          <w:lang w:eastAsia="en-GB"/>
        </w:rPr>
        <w:t xml:space="preserve">Cullen H, </w:t>
      </w:r>
      <w:proofErr w:type="spellStart"/>
      <w:proofErr w:type="gramStart"/>
      <w:r w:rsidRPr="00FA6DE5">
        <w:rPr>
          <w:rFonts w:eastAsia="Calibri"/>
          <w:sz w:val="22"/>
          <w:szCs w:val="22"/>
          <w:lang w:eastAsia="en-GB"/>
        </w:rPr>
        <w:t>deMenocal</w:t>
      </w:r>
      <w:proofErr w:type="spellEnd"/>
      <w:r w:rsidRPr="00FA6DE5">
        <w:rPr>
          <w:rFonts w:eastAsia="Calibri"/>
          <w:sz w:val="22"/>
          <w:szCs w:val="22"/>
          <w:lang w:eastAsia="en-GB"/>
        </w:rPr>
        <w:t>.,</w:t>
      </w:r>
      <w:proofErr w:type="gramEnd"/>
      <w:r w:rsidRPr="00FA6DE5">
        <w:rPr>
          <w:rFonts w:eastAsia="Calibri"/>
          <w:sz w:val="22"/>
          <w:szCs w:val="22"/>
          <w:lang w:eastAsia="en-GB"/>
        </w:rPr>
        <w:t xml:space="preserve"> 2000. “North Atlantic influence on Tigris –Euphrates stream flows”. International Journal of Climatology. 20, 853-863. http://onlinelibrary.wiley.com/doi/10.1002/1097-</w:t>
      </w:r>
      <w:proofErr w:type="gramStart"/>
      <w:r w:rsidRPr="00FA6DE5">
        <w:rPr>
          <w:rFonts w:eastAsia="Calibri"/>
          <w:sz w:val="22"/>
          <w:szCs w:val="22"/>
          <w:lang w:eastAsia="en-GB"/>
        </w:rPr>
        <w:t>0088(</w:t>
      </w:r>
      <w:proofErr w:type="gramEnd"/>
      <w:r w:rsidRPr="00FA6DE5">
        <w:rPr>
          <w:rFonts w:eastAsia="Calibri"/>
          <w:sz w:val="22"/>
          <w:szCs w:val="22"/>
          <w:lang w:eastAsia="en-GB"/>
        </w:rPr>
        <w:t>20000630)20:8%3C853::AID-JOC497%3E3.0.CO;2-M/pdf</w:t>
      </w:r>
    </w:p>
    <w:p w:rsidR="00FA6DE5" w:rsidRPr="00FA6DE5" w:rsidRDefault="00FA6DE5" w:rsidP="00FA6DE5">
      <w:pPr>
        <w:widowControl/>
        <w:adjustRightInd/>
        <w:spacing w:line="240" w:lineRule="auto"/>
        <w:ind w:left="851" w:hanging="851"/>
        <w:textAlignment w:val="auto"/>
        <w:rPr>
          <w:rFonts w:eastAsia="Calibri"/>
          <w:sz w:val="22"/>
          <w:szCs w:val="22"/>
          <w:lang w:eastAsia="en-GB"/>
        </w:rPr>
      </w:pPr>
    </w:p>
    <w:p w:rsidR="00FA6DE5" w:rsidRPr="00FA6DE5" w:rsidRDefault="00FA6DE5" w:rsidP="00FA6DE5">
      <w:pPr>
        <w:widowControl/>
        <w:adjustRightInd/>
        <w:spacing w:line="240" w:lineRule="auto"/>
        <w:ind w:left="851" w:hanging="851"/>
        <w:textAlignment w:val="auto"/>
        <w:rPr>
          <w:rFonts w:eastAsia="Calibri"/>
          <w:sz w:val="22"/>
          <w:szCs w:val="22"/>
          <w:lang w:eastAsia="en-GB"/>
        </w:rPr>
      </w:pPr>
      <w:r w:rsidRPr="00FA6DE5">
        <w:rPr>
          <w:rFonts w:eastAsia="Calibri"/>
          <w:sz w:val="28"/>
          <w:szCs w:val="28"/>
          <w:lang w:eastAsia="en-US"/>
        </w:rPr>
        <w:t xml:space="preserve">[30] </w:t>
      </w:r>
      <w:r w:rsidRPr="00FA6DE5">
        <w:rPr>
          <w:rFonts w:eastAsia="Calibri"/>
          <w:sz w:val="22"/>
          <w:szCs w:val="22"/>
          <w:lang w:eastAsia="en-GB"/>
        </w:rPr>
        <w:t xml:space="preserve">Walker G, Bliss E., 1926. “World Weather v”. Memoirs of the Royal Meteorological Society, IV, </w:t>
      </w:r>
      <w:proofErr w:type="gramStart"/>
      <w:r w:rsidRPr="00FA6DE5">
        <w:rPr>
          <w:rFonts w:eastAsia="Calibri"/>
          <w:sz w:val="22"/>
          <w:szCs w:val="22"/>
          <w:lang w:eastAsia="en-GB"/>
        </w:rPr>
        <w:t>36 ,</w:t>
      </w:r>
      <w:proofErr w:type="gramEnd"/>
      <w:r w:rsidRPr="00FA6DE5">
        <w:rPr>
          <w:rFonts w:eastAsia="Calibri"/>
          <w:sz w:val="22"/>
          <w:szCs w:val="22"/>
          <w:lang w:eastAsia="en-GB"/>
        </w:rPr>
        <w:t xml:space="preserve"> 53-84                                  </w:t>
      </w:r>
      <w:hyperlink r:id="rId60" w:history="1">
        <w:r w:rsidRPr="00FA6DE5">
          <w:rPr>
            <w:rFonts w:eastAsia="Calibri"/>
            <w:sz w:val="22"/>
            <w:szCs w:val="22"/>
            <w:u w:val="single"/>
            <w:lang w:eastAsia="en-GB"/>
          </w:rPr>
          <w:t>https://www.rmets.org/sites/default/files/ww5.pdf</w:t>
        </w:r>
      </w:hyperlink>
      <w:r w:rsidRPr="00FA6DE5">
        <w:rPr>
          <w:rFonts w:eastAsia="Calibri"/>
          <w:sz w:val="22"/>
          <w:szCs w:val="22"/>
          <w:lang w:eastAsia="en-GB"/>
        </w:rPr>
        <w:t xml:space="preserve"> </w:t>
      </w:r>
    </w:p>
    <w:p w:rsidR="00FA6DE5" w:rsidRPr="00FA6DE5" w:rsidRDefault="00FA6DE5" w:rsidP="00FA6DE5">
      <w:pPr>
        <w:widowControl/>
        <w:adjustRightInd/>
        <w:spacing w:line="240" w:lineRule="auto"/>
        <w:ind w:left="851" w:hanging="851"/>
        <w:textAlignment w:val="auto"/>
        <w:rPr>
          <w:rFonts w:eastAsia="Calibri"/>
          <w:sz w:val="22"/>
          <w:szCs w:val="22"/>
          <w:lang w:eastAsia="en-GB"/>
        </w:rPr>
      </w:pPr>
      <w:r w:rsidRPr="00FA6DE5">
        <w:rPr>
          <w:rFonts w:eastAsia="Calibri"/>
          <w:sz w:val="28"/>
          <w:szCs w:val="28"/>
          <w:lang w:eastAsia="en-US"/>
        </w:rPr>
        <w:lastRenderedPageBreak/>
        <w:t xml:space="preserve">[31] </w:t>
      </w:r>
      <w:r w:rsidRPr="00FA6DE5">
        <w:rPr>
          <w:rFonts w:eastAsia="Calibri"/>
          <w:sz w:val="22"/>
          <w:szCs w:val="22"/>
          <w:lang w:eastAsia="en-GB"/>
        </w:rPr>
        <w:t xml:space="preserve">Rogers J., 1984. “The association between the North Atlantic Oscillation and the Southern Oscillation in the Northern Hemisphere -1984”. Monthly 112: 1999-2015. 2015                                                 </w:t>
      </w:r>
      <w:hyperlink r:id="rId61" w:history="1">
        <w:r w:rsidRPr="00FA6DE5">
          <w:rPr>
            <w:rFonts w:eastAsia="Calibri"/>
            <w:sz w:val="22"/>
            <w:szCs w:val="22"/>
            <w:u w:val="single"/>
            <w:lang w:eastAsia="en-GB"/>
          </w:rPr>
          <w:t>http://journals.ametsoc.org/doi/abs/10.1175/1520-0493%281984%29112%3C1999%3ATABTNA%3E2.0.CO%3B2</w:t>
        </w:r>
      </w:hyperlink>
      <w:r w:rsidRPr="00FA6DE5">
        <w:rPr>
          <w:rFonts w:eastAsia="Calibri"/>
          <w:sz w:val="22"/>
          <w:szCs w:val="22"/>
          <w:lang w:eastAsia="en-GB"/>
        </w:rPr>
        <w:t xml:space="preserve"> </w:t>
      </w:r>
    </w:p>
    <w:p w:rsidR="00FA6DE5" w:rsidRPr="00FA6DE5" w:rsidRDefault="00FA6DE5" w:rsidP="00FA6DE5">
      <w:pPr>
        <w:widowControl/>
        <w:adjustRightInd/>
        <w:spacing w:line="240" w:lineRule="auto"/>
        <w:ind w:left="851" w:hanging="851"/>
        <w:textAlignment w:val="auto"/>
        <w:rPr>
          <w:rFonts w:eastAsia="Calibri"/>
          <w:sz w:val="22"/>
          <w:szCs w:val="22"/>
          <w:lang w:eastAsia="en-GB"/>
        </w:rPr>
      </w:pPr>
      <w:r w:rsidRPr="00FA6DE5">
        <w:rPr>
          <w:rFonts w:eastAsia="Calibri"/>
          <w:sz w:val="28"/>
          <w:szCs w:val="28"/>
          <w:lang w:eastAsia="en-US"/>
        </w:rPr>
        <w:t xml:space="preserve">[32] </w:t>
      </w:r>
      <w:proofErr w:type="spellStart"/>
      <w:r w:rsidRPr="00FA6DE5">
        <w:rPr>
          <w:rFonts w:eastAsia="Calibri"/>
          <w:sz w:val="22"/>
          <w:szCs w:val="22"/>
          <w:lang w:eastAsia="en-GB"/>
        </w:rPr>
        <w:t>Krasny</w:t>
      </w:r>
      <w:proofErr w:type="spellEnd"/>
      <w:r w:rsidRPr="00FA6DE5">
        <w:rPr>
          <w:rFonts w:eastAsia="Calibri"/>
          <w:sz w:val="22"/>
          <w:szCs w:val="22"/>
          <w:lang w:eastAsia="en-GB"/>
        </w:rPr>
        <w:t xml:space="preserve">, J., Aslam, S., and Jassim, S., 2006. "Hydrogeology: Chapter 19 in Geology of Iraq, S. Z. Jassim and </w:t>
      </w:r>
      <w:proofErr w:type="spellStart"/>
      <w:r w:rsidRPr="00FA6DE5">
        <w:rPr>
          <w:rFonts w:eastAsia="Calibri"/>
          <w:sz w:val="22"/>
          <w:szCs w:val="22"/>
          <w:lang w:eastAsia="en-GB"/>
        </w:rPr>
        <w:t>Buday</w:t>
      </w:r>
      <w:proofErr w:type="spellEnd"/>
      <w:r w:rsidRPr="00FA6DE5">
        <w:rPr>
          <w:rFonts w:eastAsia="Calibri"/>
          <w:sz w:val="22"/>
          <w:szCs w:val="22"/>
          <w:lang w:eastAsia="en-GB"/>
        </w:rPr>
        <w:t xml:space="preserve"> Republic of Iraq, 355 – 414. http://www.geokurdistan.com/subjects/geo.Iraq/geology_of_iraq.pdf</w:t>
      </w:r>
    </w:p>
    <w:p w:rsidR="00FA6DE5" w:rsidRPr="00FA6DE5" w:rsidRDefault="00FA6DE5" w:rsidP="00FA6DE5">
      <w:pPr>
        <w:widowControl/>
        <w:adjustRightInd/>
        <w:spacing w:line="240" w:lineRule="auto"/>
        <w:ind w:left="851" w:hanging="851"/>
        <w:textAlignment w:val="auto"/>
        <w:rPr>
          <w:rFonts w:eastAsia="Calibri"/>
          <w:sz w:val="22"/>
          <w:szCs w:val="22"/>
          <w:lang w:eastAsia="en-GB"/>
        </w:rPr>
      </w:pPr>
      <w:r w:rsidRPr="00FA6DE5">
        <w:rPr>
          <w:rFonts w:eastAsia="Calibri"/>
          <w:sz w:val="28"/>
          <w:szCs w:val="28"/>
          <w:lang w:eastAsia="en-US"/>
        </w:rPr>
        <w:t xml:space="preserve">[33] </w:t>
      </w:r>
      <w:r w:rsidRPr="00FA6DE5">
        <w:rPr>
          <w:rFonts w:eastAsia="Calibri"/>
          <w:sz w:val="22"/>
          <w:szCs w:val="22"/>
          <w:lang w:eastAsia="en-GB"/>
        </w:rPr>
        <w:t>Metz, H.C. (ed.), 1988, Iraq: A Country Study: Washington, GPO for the Library of Congress. https://cdn.loc.gov/master/frd/frdcstdy/ir/iraqcountrystudy00metz_0/iraqcountrystudy00metz_0.pdf</w:t>
      </w:r>
    </w:p>
    <w:p w:rsidR="00FA6DE5" w:rsidRPr="00FA6DE5" w:rsidRDefault="00FA6DE5" w:rsidP="00FA6DE5">
      <w:pPr>
        <w:widowControl/>
        <w:adjustRightInd/>
        <w:spacing w:line="240" w:lineRule="auto"/>
        <w:ind w:left="851" w:hanging="851"/>
        <w:textAlignment w:val="auto"/>
        <w:rPr>
          <w:rFonts w:eastAsia="Calibri"/>
          <w:sz w:val="22"/>
          <w:szCs w:val="22"/>
          <w:lang w:eastAsia="en-GB"/>
        </w:rPr>
      </w:pPr>
      <w:r w:rsidRPr="00FA6DE5">
        <w:rPr>
          <w:rFonts w:eastAsia="Calibri"/>
          <w:sz w:val="28"/>
          <w:szCs w:val="28"/>
          <w:lang w:eastAsia="en-US"/>
        </w:rPr>
        <w:t xml:space="preserve">[34] </w:t>
      </w:r>
      <w:r w:rsidRPr="00FA6DE5">
        <w:rPr>
          <w:rFonts w:eastAsia="Calibri"/>
          <w:sz w:val="22"/>
          <w:szCs w:val="22"/>
          <w:lang w:eastAsia="en-GB"/>
        </w:rPr>
        <w:t xml:space="preserve">Flint A, Flint L, Curtis J, </w:t>
      </w:r>
      <w:proofErr w:type="spellStart"/>
      <w:r w:rsidRPr="00FA6DE5">
        <w:rPr>
          <w:rFonts w:eastAsia="Calibri"/>
          <w:sz w:val="22"/>
          <w:szCs w:val="22"/>
          <w:lang w:eastAsia="en-GB"/>
        </w:rPr>
        <w:t>Boesch</w:t>
      </w:r>
      <w:proofErr w:type="spellEnd"/>
      <w:r w:rsidRPr="00FA6DE5">
        <w:rPr>
          <w:rFonts w:eastAsia="Calibri"/>
          <w:sz w:val="22"/>
          <w:szCs w:val="22"/>
          <w:lang w:eastAsia="en-GB"/>
        </w:rPr>
        <w:t xml:space="preserve"> C.</w:t>
      </w:r>
      <w:proofErr w:type="gramStart"/>
      <w:r w:rsidRPr="00FA6DE5">
        <w:rPr>
          <w:rFonts w:eastAsia="Calibri"/>
          <w:sz w:val="22"/>
          <w:szCs w:val="22"/>
          <w:lang w:eastAsia="en-GB"/>
        </w:rPr>
        <w:t>,2011</w:t>
      </w:r>
      <w:proofErr w:type="gramEnd"/>
      <w:r w:rsidRPr="00FA6DE5">
        <w:rPr>
          <w:rFonts w:eastAsia="Calibri"/>
          <w:sz w:val="22"/>
          <w:szCs w:val="22"/>
          <w:lang w:eastAsia="en-GB"/>
        </w:rPr>
        <w:t>. "A Preliminary Water Balance Model for the Tigris and Euphrates River System" USGS.2 https://ca.water.usgs.gov/projects/reg_hydro/projects/Flint_water-balance-model-tigris-euphrates_2011.pdf</w:t>
      </w:r>
    </w:p>
    <w:p w:rsidR="00FA6DE5" w:rsidRPr="00FA6DE5" w:rsidRDefault="00FA6DE5" w:rsidP="00FA6DE5">
      <w:pPr>
        <w:widowControl/>
        <w:adjustRightInd/>
        <w:spacing w:line="240" w:lineRule="auto"/>
        <w:ind w:left="851" w:hanging="851"/>
        <w:textAlignment w:val="auto"/>
        <w:rPr>
          <w:rFonts w:eastAsia="Calibri"/>
          <w:sz w:val="22"/>
          <w:szCs w:val="22"/>
          <w:lang w:eastAsia="en-GB"/>
        </w:rPr>
      </w:pPr>
      <w:r w:rsidRPr="00FA6DE5">
        <w:rPr>
          <w:rFonts w:eastAsia="Calibri"/>
          <w:sz w:val="28"/>
          <w:szCs w:val="28"/>
          <w:lang w:val="sv-SE" w:eastAsia="en-US"/>
        </w:rPr>
        <w:t xml:space="preserve">[35] </w:t>
      </w:r>
      <w:r w:rsidRPr="00FA6DE5">
        <w:rPr>
          <w:rFonts w:eastAsia="Calibri"/>
          <w:sz w:val="22"/>
          <w:szCs w:val="22"/>
          <w:lang w:val="sv-SE" w:eastAsia="en-GB"/>
        </w:rPr>
        <w:t xml:space="preserve">Voss K, </w:t>
      </w:r>
      <w:proofErr w:type="spellStart"/>
      <w:r w:rsidRPr="00FA6DE5">
        <w:rPr>
          <w:rFonts w:eastAsia="Calibri"/>
          <w:sz w:val="22"/>
          <w:szCs w:val="22"/>
          <w:lang w:val="sv-SE" w:eastAsia="en-GB"/>
        </w:rPr>
        <w:t>Famiglietti</w:t>
      </w:r>
      <w:proofErr w:type="spellEnd"/>
      <w:r w:rsidRPr="00FA6DE5">
        <w:rPr>
          <w:rFonts w:eastAsia="Calibri"/>
          <w:sz w:val="22"/>
          <w:szCs w:val="22"/>
          <w:lang w:val="sv-SE" w:eastAsia="en-GB"/>
        </w:rPr>
        <w:t xml:space="preserve"> J, Lo M, Svensson S., 2013. </w:t>
      </w:r>
      <w:r w:rsidRPr="00FA6DE5">
        <w:rPr>
          <w:rFonts w:eastAsia="Calibri"/>
          <w:sz w:val="22"/>
          <w:szCs w:val="22"/>
          <w:lang w:eastAsia="en-GB"/>
        </w:rPr>
        <w:t xml:space="preserve">“Ground Water depletion in the Middle East from Grace with implications for </w:t>
      </w:r>
      <w:proofErr w:type="spellStart"/>
      <w:r w:rsidRPr="00FA6DE5">
        <w:rPr>
          <w:rFonts w:eastAsia="Calibri"/>
          <w:sz w:val="22"/>
          <w:szCs w:val="22"/>
          <w:lang w:eastAsia="en-GB"/>
        </w:rPr>
        <w:t>Tranboundary</w:t>
      </w:r>
      <w:proofErr w:type="spellEnd"/>
      <w:r w:rsidRPr="00FA6DE5">
        <w:rPr>
          <w:rFonts w:eastAsia="Calibri"/>
          <w:sz w:val="22"/>
          <w:szCs w:val="22"/>
          <w:lang w:eastAsia="en-GB"/>
        </w:rPr>
        <w:t xml:space="preserve"> water management in the Tigris-Euphrates – Western Iran region”. Water Resources Research, 49, 904-914.                                  https://www.ncbi.nlm.nih.gov/pmc/articles/PMC3644870</w:t>
      </w:r>
    </w:p>
    <w:p w:rsidR="00FA6DE5" w:rsidRPr="00FA6DE5" w:rsidRDefault="00FA6DE5" w:rsidP="00FA6DE5">
      <w:pPr>
        <w:widowControl/>
        <w:adjustRightInd/>
        <w:spacing w:line="240" w:lineRule="auto"/>
        <w:ind w:left="851" w:hanging="851"/>
        <w:textAlignment w:val="auto"/>
        <w:rPr>
          <w:rFonts w:eastAsia="Calibri"/>
          <w:sz w:val="22"/>
          <w:szCs w:val="22"/>
          <w:lang w:eastAsia="en-GB"/>
        </w:rPr>
      </w:pPr>
      <w:r w:rsidRPr="00FA6DE5">
        <w:rPr>
          <w:rFonts w:eastAsia="Calibri"/>
          <w:sz w:val="28"/>
          <w:szCs w:val="28"/>
          <w:lang w:val="sv-SE" w:eastAsia="en-US"/>
        </w:rPr>
        <w:t xml:space="preserve">[36] </w:t>
      </w:r>
      <w:proofErr w:type="spellStart"/>
      <w:r w:rsidRPr="00FA6DE5">
        <w:rPr>
          <w:rFonts w:eastAsia="Calibri"/>
          <w:sz w:val="22"/>
          <w:szCs w:val="22"/>
          <w:lang w:val="sv-SE" w:eastAsia="en-GB"/>
        </w:rPr>
        <w:t>Bozkurt</w:t>
      </w:r>
      <w:proofErr w:type="spellEnd"/>
      <w:r w:rsidRPr="00FA6DE5">
        <w:rPr>
          <w:rFonts w:eastAsia="Calibri"/>
          <w:sz w:val="22"/>
          <w:szCs w:val="22"/>
          <w:lang w:val="sv-SE" w:eastAsia="en-GB"/>
        </w:rPr>
        <w:t xml:space="preserve"> D, Sen, Hagemann S., 2015. </w:t>
      </w:r>
      <w:r w:rsidRPr="00FA6DE5">
        <w:rPr>
          <w:rFonts w:eastAsia="Calibri"/>
          <w:sz w:val="22"/>
          <w:szCs w:val="22"/>
          <w:lang w:eastAsia="en-GB"/>
        </w:rPr>
        <w:t>“Projected river discharge in the Euphrates – Tigris Basin from a hydrological discharge Model – RCM and GCN outputs”. Climate Research</w:t>
      </w:r>
      <w:proofErr w:type="gramStart"/>
      <w:r w:rsidRPr="00FA6DE5">
        <w:rPr>
          <w:rFonts w:eastAsia="Calibri"/>
          <w:sz w:val="22"/>
          <w:szCs w:val="22"/>
          <w:lang w:eastAsia="en-GB"/>
        </w:rPr>
        <w:t>,  62</w:t>
      </w:r>
      <w:proofErr w:type="gramEnd"/>
      <w:r w:rsidRPr="00FA6DE5">
        <w:rPr>
          <w:rFonts w:eastAsia="Calibri"/>
          <w:sz w:val="22"/>
          <w:szCs w:val="22"/>
          <w:lang w:eastAsia="en-GB"/>
        </w:rPr>
        <w:t>,  134-147.     http://repositorio.uchile.cl/bitstream/handle/2250/132236/Projected-river-discharge-in-the-Euphrates-Tigris.pdf?sequence=1</w:t>
      </w:r>
    </w:p>
    <w:p w:rsidR="00FA6DE5" w:rsidRPr="00FA6DE5" w:rsidRDefault="00FA6DE5" w:rsidP="00FA6DE5">
      <w:pPr>
        <w:widowControl/>
        <w:adjustRightInd/>
        <w:spacing w:line="240" w:lineRule="auto"/>
        <w:ind w:left="851" w:hanging="851"/>
        <w:textAlignment w:val="auto"/>
        <w:rPr>
          <w:rFonts w:eastAsia="Calibri"/>
          <w:sz w:val="22"/>
          <w:szCs w:val="22"/>
          <w:lang w:eastAsia="en-GB"/>
        </w:rPr>
      </w:pPr>
      <w:r w:rsidRPr="00FA6DE5">
        <w:rPr>
          <w:rFonts w:eastAsia="Calibri"/>
          <w:sz w:val="28"/>
          <w:szCs w:val="28"/>
          <w:lang w:eastAsia="en-US"/>
        </w:rPr>
        <w:t xml:space="preserve">[37] </w:t>
      </w:r>
      <w:proofErr w:type="spellStart"/>
      <w:r w:rsidRPr="00FA6DE5">
        <w:rPr>
          <w:rFonts w:eastAsia="Calibri"/>
          <w:sz w:val="22"/>
          <w:szCs w:val="22"/>
          <w:lang w:eastAsia="en-GB"/>
        </w:rPr>
        <w:t>Hagemann</w:t>
      </w:r>
      <w:proofErr w:type="spellEnd"/>
      <w:r w:rsidRPr="00FA6DE5">
        <w:rPr>
          <w:rFonts w:eastAsia="Calibri"/>
          <w:sz w:val="22"/>
          <w:szCs w:val="22"/>
          <w:lang w:eastAsia="en-GB"/>
        </w:rPr>
        <w:t xml:space="preserve"> S, </w:t>
      </w:r>
      <w:proofErr w:type="spellStart"/>
      <w:r w:rsidRPr="00FA6DE5">
        <w:rPr>
          <w:rFonts w:eastAsia="Calibri"/>
          <w:sz w:val="22"/>
          <w:szCs w:val="22"/>
          <w:lang w:eastAsia="en-GB"/>
        </w:rPr>
        <w:t>Dümenil</w:t>
      </w:r>
      <w:proofErr w:type="spellEnd"/>
      <w:r w:rsidRPr="00FA6DE5">
        <w:rPr>
          <w:rFonts w:eastAsia="Calibri"/>
          <w:sz w:val="22"/>
          <w:szCs w:val="22"/>
          <w:lang w:eastAsia="en-GB"/>
        </w:rPr>
        <w:t xml:space="preserve"> L. a.</w:t>
      </w:r>
      <w:proofErr w:type="gramStart"/>
      <w:r w:rsidRPr="00FA6DE5">
        <w:rPr>
          <w:rFonts w:eastAsia="Calibri"/>
          <w:sz w:val="22"/>
          <w:szCs w:val="22"/>
          <w:lang w:eastAsia="en-GB"/>
        </w:rPr>
        <w:t>,1997</w:t>
      </w:r>
      <w:proofErr w:type="gramEnd"/>
      <w:r w:rsidRPr="00FA6DE5">
        <w:rPr>
          <w:rFonts w:eastAsia="Calibri"/>
          <w:sz w:val="22"/>
          <w:szCs w:val="22"/>
          <w:lang w:eastAsia="en-GB"/>
        </w:rPr>
        <w:t>. “A parameterization of the lateral water flow for the global scale”. Climate Dynamics 14: 17-31. 1997 http://link.springer.com/article/10.1007/s003820050205</w:t>
      </w:r>
    </w:p>
    <w:p w:rsidR="00FA6DE5" w:rsidRPr="00FA6DE5" w:rsidRDefault="00FA6DE5" w:rsidP="00FA6DE5">
      <w:pPr>
        <w:widowControl/>
        <w:adjustRightInd/>
        <w:spacing w:line="240" w:lineRule="auto"/>
        <w:ind w:left="851" w:hanging="851"/>
        <w:textAlignment w:val="auto"/>
        <w:rPr>
          <w:rFonts w:eastAsia="Calibri"/>
          <w:sz w:val="22"/>
          <w:szCs w:val="22"/>
          <w:lang w:eastAsia="en-GB"/>
        </w:rPr>
      </w:pPr>
      <w:r w:rsidRPr="00FA6DE5">
        <w:rPr>
          <w:rFonts w:eastAsia="Calibri"/>
          <w:sz w:val="28"/>
          <w:szCs w:val="28"/>
          <w:lang w:eastAsia="en-US"/>
        </w:rPr>
        <w:t xml:space="preserve">[38] </w:t>
      </w:r>
      <w:proofErr w:type="spellStart"/>
      <w:r w:rsidRPr="00FA6DE5">
        <w:rPr>
          <w:rFonts w:eastAsia="Calibri"/>
          <w:sz w:val="22"/>
          <w:szCs w:val="22"/>
          <w:lang w:eastAsia="en-GB"/>
        </w:rPr>
        <w:t>Hagemann</w:t>
      </w:r>
      <w:proofErr w:type="spellEnd"/>
      <w:r w:rsidRPr="00FA6DE5">
        <w:rPr>
          <w:rFonts w:eastAsia="Calibri"/>
          <w:sz w:val="22"/>
          <w:szCs w:val="22"/>
          <w:lang w:eastAsia="en-GB"/>
        </w:rPr>
        <w:t xml:space="preserve"> S, </w:t>
      </w:r>
      <w:proofErr w:type="spellStart"/>
      <w:r w:rsidRPr="00FA6DE5">
        <w:rPr>
          <w:rFonts w:eastAsia="Calibri"/>
          <w:sz w:val="22"/>
          <w:szCs w:val="22"/>
          <w:lang w:eastAsia="en-GB"/>
        </w:rPr>
        <w:t>Dümenil</w:t>
      </w:r>
      <w:proofErr w:type="spellEnd"/>
      <w:r w:rsidRPr="00FA6DE5">
        <w:rPr>
          <w:rFonts w:eastAsia="Calibri"/>
          <w:sz w:val="22"/>
          <w:szCs w:val="22"/>
          <w:lang w:eastAsia="en-GB"/>
        </w:rPr>
        <w:t xml:space="preserve">-Gate L. b., 2001. “Validation of the hydrological cycle of ECMWF and NECP reanalysis using the MPI of Hydrological discharge model”. Journal of </w:t>
      </w:r>
      <w:proofErr w:type="gramStart"/>
      <w:r w:rsidRPr="00FA6DE5">
        <w:rPr>
          <w:rFonts w:eastAsia="Calibri"/>
          <w:sz w:val="22"/>
          <w:szCs w:val="22"/>
          <w:lang w:eastAsia="en-GB"/>
        </w:rPr>
        <w:t>Geophysical  Research,106</w:t>
      </w:r>
      <w:proofErr w:type="gramEnd"/>
      <w:r w:rsidRPr="00FA6DE5">
        <w:rPr>
          <w:rFonts w:eastAsia="Calibri"/>
          <w:sz w:val="22"/>
          <w:szCs w:val="22"/>
          <w:lang w:eastAsia="en-GB"/>
        </w:rPr>
        <w:t xml:space="preserve">, 1503-1510.  </w:t>
      </w:r>
      <w:hyperlink r:id="rId62" w:history="1">
        <w:r w:rsidRPr="00FA6DE5">
          <w:rPr>
            <w:rFonts w:eastAsia="Calibri"/>
            <w:sz w:val="22"/>
            <w:szCs w:val="22"/>
            <w:u w:val="single"/>
            <w:lang w:eastAsia="en-GB"/>
          </w:rPr>
          <w:t>http://onlinelibrary.wiley.com/doi/10.1029/2000JD900568/pdf</w:t>
        </w:r>
      </w:hyperlink>
      <w:r w:rsidRPr="00FA6DE5">
        <w:rPr>
          <w:rFonts w:eastAsia="Calibri"/>
          <w:sz w:val="22"/>
          <w:szCs w:val="22"/>
          <w:lang w:eastAsia="en-GB"/>
        </w:rPr>
        <w:t xml:space="preserve"> </w:t>
      </w:r>
    </w:p>
    <w:p w:rsidR="00FA6DE5" w:rsidRPr="00FA6DE5" w:rsidRDefault="00FA6DE5" w:rsidP="00FA6DE5">
      <w:pPr>
        <w:widowControl/>
        <w:adjustRightInd/>
        <w:spacing w:line="240" w:lineRule="auto"/>
        <w:ind w:left="851" w:hanging="851"/>
        <w:textAlignment w:val="auto"/>
        <w:rPr>
          <w:rFonts w:eastAsia="Calibri"/>
          <w:sz w:val="22"/>
          <w:szCs w:val="22"/>
          <w:lang w:eastAsia="en-GB"/>
        </w:rPr>
      </w:pPr>
      <w:r w:rsidRPr="00FA6DE5">
        <w:rPr>
          <w:rFonts w:eastAsia="Calibri"/>
          <w:sz w:val="28"/>
          <w:szCs w:val="28"/>
          <w:lang w:eastAsia="en-US"/>
        </w:rPr>
        <w:t>[39]</w:t>
      </w:r>
      <w:r w:rsidRPr="00FA6DE5">
        <w:rPr>
          <w:rFonts w:eastAsia="Calibri"/>
          <w:noProof/>
          <w:sz w:val="28"/>
          <w:szCs w:val="28"/>
          <w:lang w:eastAsia="en-GB"/>
        </w:rPr>
        <w:t xml:space="preserve"> </w:t>
      </w:r>
      <w:r w:rsidRPr="00FA6DE5">
        <w:rPr>
          <w:rFonts w:eastAsia="Calibri"/>
          <w:sz w:val="22"/>
          <w:szCs w:val="22"/>
          <w:lang w:eastAsia="en-GB"/>
        </w:rPr>
        <w:t>Dickinson E, Henderson A, Kennedy J., 1993. “Biosphere- Atmosphere Transfer Scheme”. National Center for Atmospheric Research, August 1993.    http://opensky.ucar.edu/islandora/object/technotes:154</w:t>
      </w:r>
    </w:p>
    <w:p w:rsidR="00FA6DE5" w:rsidRPr="00FA6DE5" w:rsidRDefault="00FA6DE5" w:rsidP="00FA6DE5">
      <w:pPr>
        <w:widowControl/>
        <w:adjustRightInd/>
        <w:spacing w:line="240" w:lineRule="auto"/>
        <w:ind w:left="851" w:hanging="851"/>
        <w:textAlignment w:val="auto"/>
        <w:rPr>
          <w:rFonts w:eastAsia="Calibri"/>
          <w:sz w:val="22"/>
          <w:szCs w:val="22"/>
          <w:lang w:eastAsia="en-GB"/>
        </w:rPr>
      </w:pPr>
      <w:r w:rsidRPr="00FA6DE5">
        <w:rPr>
          <w:rFonts w:eastAsia="Calibri"/>
          <w:sz w:val="28"/>
          <w:szCs w:val="28"/>
          <w:lang w:eastAsia="en-US"/>
        </w:rPr>
        <w:t xml:space="preserve"> [40]</w:t>
      </w:r>
      <w:r w:rsidRPr="00FA6DE5">
        <w:rPr>
          <w:rFonts w:eastAsia="Calibri"/>
          <w:noProof/>
          <w:sz w:val="28"/>
          <w:szCs w:val="28"/>
          <w:lang w:eastAsia="en-GB"/>
        </w:rPr>
        <w:t xml:space="preserve"> </w:t>
      </w:r>
      <w:r w:rsidRPr="00FA6DE5">
        <w:rPr>
          <w:rFonts w:eastAsia="Calibri"/>
          <w:sz w:val="22"/>
          <w:szCs w:val="22"/>
          <w:lang w:eastAsia="en-GB"/>
        </w:rPr>
        <w:t xml:space="preserve">Al-Ansari N, </w:t>
      </w:r>
      <w:proofErr w:type="spellStart"/>
      <w:r w:rsidRPr="00FA6DE5">
        <w:rPr>
          <w:rFonts w:eastAsia="Calibri"/>
          <w:sz w:val="22"/>
          <w:szCs w:val="22"/>
          <w:lang w:eastAsia="en-GB"/>
        </w:rPr>
        <w:t>Abdellatif</w:t>
      </w:r>
      <w:proofErr w:type="spellEnd"/>
      <w:r w:rsidRPr="00FA6DE5">
        <w:rPr>
          <w:rFonts w:eastAsia="Calibri"/>
          <w:sz w:val="22"/>
          <w:szCs w:val="22"/>
          <w:lang w:eastAsia="en-GB"/>
        </w:rPr>
        <w:t xml:space="preserve"> M. Ali S, Knutsson S., 2014. “Climate Change and Future Long-Term Trends of Rainfall at North-East of Iraq”. Journal of Civil Engineering and Architecture, 8. 6, 790-805.                                   https://www.diva-portal.org/smash/get/diva2:976480/FULLTEXT01.pdf</w:t>
      </w:r>
    </w:p>
    <w:p w:rsidR="00FA6DE5" w:rsidRPr="00FA6DE5" w:rsidRDefault="00FA6DE5" w:rsidP="00FA6DE5">
      <w:pPr>
        <w:widowControl/>
        <w:adjustRightInd/>
        <w:spacing w:line="240" w:lineRule="auto"/>
        <w:ind w:left="851" w:hanging="851"/>
        <w:textAlignment w:val="auto"/>
        <w:rPr>
          <w:rFonts w:eastAsia="Calibri"/>
          <w:sz w:val="22"/>
          <w:szCs w:val="22"/>
          <w:lang w:eastAsia="en-GB"/>
        </w:rPr>
      </w:pPr>
      <w:r w:rsidRPr="00FA6DE5">
        <w:rPr>
          <w:rFonts w:eastAsia="Calibri"/>
          <w:sz w:val="22"/>
          <w:szCs w:val="22"/>
          <w:lang w:eastAsia="en-GB"/>
        </w:rPr>
        <w:t xml:space="preserve"> </w:t>
      </w:r>
      <w:r w:rsidRPr="00FA6DE5">
        <w:rPr>
          <w:rFonts w:eastAsia="Calibri"/>
          <w:sz w:val="28"/>
          <w:szCs w:val="28"/>
          <w:lang w:eastAsia="en-US"/>
        </w:rPr>
        <w:t xml:space="preserve">[41] </w:t>
      </w:r>
      <w:r w:rsidRPr="00FA6DE5">
        <w:rPr>
          <w:rFonts w:eastAsia="Calibri"/>
          <w:sz w:val="22"/>
          <w:szCs w:val="22"/>
          <w:lang w:eastAsia="en-GB"/>
        </w:rPr>
        <w:t xml:space="preserve"> Abbas N, </w:t>
      </w:r>
      <w:proofErr w:type="spellStart"/>
      <w:r w:rsidRPr="00FA6DE5">
        <w:rPr>
          <w:rFonts w:eastAsia="Calibri"/>
          <w:sz w:val="22"/>
          <w:szCs w:val="22"/>
          <w:lang w:eastAsia="en-GB"/>
        </w:rPr>
        <w:t>Wassimia</w:t>
      </w:r>
      <w:proofErr w:type="spellEnd"/>
      <w:r w:rsidRPr="00FA6DE5">
        <w:rPr>
          <w:rFonts w:eastAsia="Calibri"/>
          <w:sz w:val="22"/>
          <w:szCs w:val="22"/>
          <w:lang w:eastAsia="en-GB"/>
        </w:rPr>
        <w:t xml:space="preserve"> S, Al-Ansari N., 2016  “Climate Change Impacts on Water Resources of Greater </w:t>
      </w:r>
      <w:proofErr w:type="spellStart"/>
      <w:r w:rsidRPr="00FA6DE5">
        <w:rPr>
          <w:rFonts w:eastAsia="Calibri"/>
          <w:sz w:val="22"/>
          <w:szCs w:val="22"/>
          <w:lang w:eastAsia="en-GB"/>
        </w:rPr>
        <w:t>Zab</w:t>
      </w:r>
      <w:proofErr w:type="spellEnd"/>
      <w:r w:rsidRPr="00FA6DE5">
        <w:rPr>
          <w:rFonts w:eastAsia="Calibri"/>
          <w:sz w:val="22"/>
          <w:szCs w:val="22"/>
          <w:lang w:eastAsia="en-GB"/>
        </w:rPr>
        <w:t xml:space="preserve"> River”, J. Civil Engineering and Architecture, 10, 1384-1402.                                                                                  </w:t>
      </w:r>
      <w:hyperlink r:id="rId63" w:history="1">
        <w:r w:rsidRPr="00FA6DE5">
          <w:rPr>
            <w:rFonts w:eastAsia="Calibri"/>
            <w:sz w:val="22"/>
            <w:szCs w:val="22"/>
            <w:u w:val="single"/>
            <w:lang w:eastAsia="en-GB"/>
          </w:rPr>
          <w:t>https://www.diva-portal.org/smash/get/diva2:1068326/FULLTEXT01.pdf</w:t>
        </w:r>
      </w:hyperlink>
      <w:r w:rsidRPr="00FA6DE5">
        <w:rPr>
          <w:rFonts w:eastAsia="Calibri"/>
          <w:sz w:val="22"/>
          <w:szCs w:val="22"/>
          <w:lang w:eastAsia="en-GB"/>
        </w:rPr>
        <w:t xml:space="preserve">   </w:t>
      </w:r>
    </w:p>
    <w:p w:rsidR="00FA6DE5" w:rsidRPr="00FA6DE5" w:rsidRDefault="00FA6DE5" w:rsidP="00FA6DE5">
      <w:pPr>
        <w:widowControl/>
        <w:adjustRightInd/>
        <w:spacing w:line="240" w:lineRule="auto"/>
        <w:ind w:left="851" w:hanging="851"/>
        <w:textAlignment w:val="auto"/>
        <w:rPr>
          <w:rFonts w:eastAsia="Calibri"/>
          <w:sz w:val="22"/>
          <w:szCs w:val="22"/>
          <w:lang w:eastAsia="en-GB"/>
        </w:rPr>
      </w:pPr>
      <w:r w:rsidRPr="00FA6DE5">
        <w:rPr>
          <w:rFonts w:eastAsia="Calibri"/>
          <w:sz w:val="28"/>
          <w:szCs w:val="28"/>
          <w:lang w:eastAsia="en-US"/>
        </w:rPr>
        <w:lastRenderedPageBreak/>
        <w:t xml:space="preserve">[42] </w:t>
      </w:r>
      <w:r w:rsidRPr="00FA6DE5">
        <w:rPr>
          <w:rFonts w:eastAsia="Calibri"/>
          <w:sz w:val="22"/>
          <w:szCs w:val="22"/>
          <w:lang w:eastAsia="en-GB"/>
        </w:rPr>
        <w:t xml:space="preserve">Abbas N, </w:t>
      </w:r>
      <w:proofErr w:type="spellStart"/>
      <w:r w:rsidRPr="00FA6DE5">
        <w:rPr>
          <w:rFonts w:eastAsia="Calibri"/>
          <w:sz w:val="22"/>
          <w:szCs w:val="22"/>
          <w:lang w:eastAsia="en-GB"/>
        </w:rPr>
        <w:t>Wassimia</w:t>
      </w:r>
      <w:proofErr w:type="spellEnd"/>
      <w:r w:rsidRPr="00FA6DE5">
        <w:rPr>
          <w:rFonts w:eastAsia="Calibri"/>
          <w:sz w:val="22"/>
          <w:szCs w:val="22"/>
          <w:lang w:eastAsia="en-GB"/>
        </w:rPr>
        <w:t xml:space="preserve"> S, Al-Ansari N., </w:t>
      </w:r>
      <w:proofErr w:type="gramStart"/>
      <w:r w:rsidRPr="00FA6DE5">
        <w:rPr>
          <w:rFonts w:eastAsia="Calibri"/>
          <w:sz w:val="22"/>
          <w:szCs w:val="22"/>
          <w:lang w:eastAsia="en-GB"/>
        </w:rPr>
        <w:t>2016 .</w:t>
      </w:r>
      <w:proofErr w:type="gramEnd"/>
      <w:r w:rsidRPr="00FA6DE5">
        <w:rPr>
          <w:rFonts w:eastAsia="Calibri"/>
          <w:sz w:val="22"/>
          <w:szCs w:val="22"/>
          <w:lang w:eastAsia="en-GB"/>
        </w:rPr>
        <w:t xml:space="preserve"> “Assessment of Climate Change Impacts on Water Resources of Lesser </w:t>
      </w:r>
      <w:proofErr w:type="spellStart"/>
      <w:r w:rsidRPr="00FA6DE5">
        <w:rPr>
          <w:rFonts w:eastAsia="Calibri"/>
          <w:sz w:val="22"/>
          <w:szCs w:val="22"/>
          <w:lang w:eastAsia="en-GB"/>
        </w:rPr>
        <w:t>Zab</w:t>
      </w:r>
      <w:proofErr w:type="spellEnd"/>
      <w:r w:rsidRPr="00FA6DE5">
        <w:rPr>
          <w:rFonts w:eastAsia="Calibri"/>
          <w:sz w:val="22"/>
          <w:szCs w:val="22"/>
          <w:lang w:eastAsia="en-GB"/>
        </w:rPr>
        <w:t xml:space="preserve">. Kurdistan Iraq using SWAT model”. Scientific Research Publishing. Engineering 8, 697-715. </w:t>
      </w:r>
      <w:hyperlink r:id="rId64" w:history="1">
        <w:r w:rsidRPr="00FA6DE5">
          <w:rPr>
            <w:rFonts w:eastAsia="Calibri"/>
            <w:sz w:val="22"/>
            <w:szCs w:val="22"/>
            <w:u w:val="single"/>
            <w:lang w:eastAsia="en-GB"/>
          </w:rPr>
          <w:t>http://file.scirp.org/pdf/ENG_2016102711410207.pdf</w:t>
        </w:r>
      </w:hyperlink>
      <w:r w:rsidRPr="00FA6DE5">
        <w:rPr>
          <w:rFonts w:eastAsia="Calibri"/>
          <w:sz w:val="22"/>
          <w:szCs w:val="22"/>
          <w:lang w:eastAsia="en-GB"/>
        </w:rPr>
        <w:t xml:space="preserve"> </w:t>
      </w:r>
    </w:p>
    <w:p w:rsidR="00FA6DE5" w:rsidRPr="00FA6DE5" w:rsidRDefault="00FA6DE5" w:rsidP="00FA6DE5">
      <w:pPr>
        <w:widowControl/>
        <w:adjustRightInd/>
        <w:spacing w:line="240" w:lineRule="auto"/>
        <w:ind w:left="851" w:hanging="851"/>
        <w:textAlignment w:val="auto"/>
        <w:rPr>
          <w:rFonts w:eastAsia="Calibri"/>
          <w:sz w:val="22"/>
          <w:szCs w:val="22"/>
          <w:lang w:eastAsia="en-GB"/>
        </w:rPr>
      </w:pPr>
      <w:r w:rsidRPr="00FA6DE5">
        <w:rPr>
          <w:rFonts w:eastAsia="Calibri"/>
          <w:sz w:val="28"/>
          <w:szCs w:val="28"/>
          <w:lang w:eastAsia="en-US"/>
        </w:rPr>
        <w:t xml:space="preserve">[43] </w:t>
      </w:r>
      <w:r w:rsidRPr="00FA6DE5">
        <w:rPr>
          <w:rFonts w:eastAsia="Calibri"/>
          <w:sz w:val="22"/>
          <w:szCs w:val="22"/>
          <w:lang w:eastAsia="en-GB"/>
        </w:rPr>
        <w:t xml:space="preserve">Abbas N, </w:t>
      </w:r>
      <w:proofErr w:type="spellStart"/>
      <w:r w:rsidRPr="00FA6DE5">
        <w:rPr>
          <w:rFonts w:eastAsia="Calibri"/>
          <w:sz w:val="22"/>
          <w:szCs w:val="22"/>
          <w:lang w:eastAsia="en-GB"/>
        </w:rPr>
        <w:t>Wassimia</w:t>
      </w:r>
      <w:proofErr w:type="spellEnd"/>
      <w:r w:rsidRPr="00FA6DE5">
        <w:rPr>
          <w:rFonts w:eastAsia="Calibri"/>
          <w:sz w:val="22"/>
          <w:szCs w:val="22"/>
          <w:lang w:eastAsia="en-GB"/>
        </w:rPr>
        <w:t xml:space="preserve"> S, Al-Ansari N., 2016. “Impacts of Climate Change on Water Resources in Diyala River basin, Iraq”, J. Civil Engineering and Architecture. 10, 1059-1074.                                                                        </w:t>
      </w:r>
      <w:hyperlink r:id="rId65" w:history="1">
        <w:r w:rsidRPr="00FA6DE5">
          <w:rPr>
            <w:rFonts w:eastAsia="Calibri"/>
            <w:sz w:val="22"/>
            <w:szCs w:val="22"/>
            <w:u w:val="single"/>
            <w:lang w:eastAsia="en-GB"/>
          </w:rPr>
          <w:t>https://www.diva-portal.org/smash/get/diva2:1033772/FULLTEXT01.pdf</w:t>
        </w:r>
      </w:hyperlink>
      <w:r w:rsidRPr="00FA6DE5">
        <w:rPr>
          <w:rFonts w:eastAsia="Calibri"/>
          <w:sz w:val="22"/>
          <w:szCs w:val="22"/>
          <w:lang w:eastAsia="en-GB"/>
        </w:rPr>
        <w:t xml:space="preserve"> </w:t>
      </w:r>
    </w:p>
    <w:p w:rsidR="00FA6DE5" w:rsidRPr="00FA6DE5" w:rsidRDefault="00FA6DE5" w:rsidP="00FA6DE5">
      <w:pPr>
        <w:widowControl/>
        <w:adjustRightInd/>
        <w:spacing w:line="240" w:lineRule="auto"/>
        <w:ind w:left="851" w:hanging="851"/>
        <w:textAlignment w:val="auto"/>
        <w:rPr>
          <w:rFonts w:eastAsia="Calibri"/>
          <w:sz w:val="22"/>
          <w:szCs w:val="22"/>
          <w:lang w:eastAsia="en-GB"/>
        </w:rPr>
      </w:pPr>
      <w:r w:rsidRPr="00FA6DE5">
        <w:rPr>
          <w:rFonts w:eastAsia="Calibri"/>
          <w:sz w:val="28"/>
          <w:szCs w:val="28"/>
          <w:lang w:eastAsia="en-US"/>
        </w:rPr>
        <w:t xml:space="preserve">[44] </w:t>
      </w:r>
      <w:r w:rsidRPr="00FA6DE5">
        <w:rPr>
          <w:rFonts w:eastAsia="Calibri"/>
          <w:sz w:val="22"/>
          <w:szCs w:val="22"/>
          <w:lang w:eastAsia="en-GB"/>
        </w:rPr>
        <w:t xml:space="preserve">Abbas N. </w:t>
      </w:r>
      <w:proofErr w:type="spellStart"/>
      <w:r w:rsidRPr="00FA6DE5">
        <w:rPr>
          <w:rFonts w:eastAsia="Calibri"/>
          <w:sz w:val="22"/>
          <w:szCs w:val="22"/>
          <w:lang w:eastAsia="en-GB"/>
        </w:rPr>
        <w:t>Wassimia</w:t>
      </w:r>
      <w:proofErr w:type="spellEnd"/>
      <w:r w:rsidRPr="00FA6DE5">
        <w:rPr>
          <w:rFonts w:eastAsia="Calibri"/>
          <w:sz w:val="22"/>
          <w:szCs w:val="22"/>
          <w:lang w:eastAsia="en-GB"/>
        </w:rPr>
        <w:t xml:space="preserve"> S, Al-Ansari N. 2016. “Assessment of Climate Change Impacts on Water Resources of Khabour River in Kurdistan, Iraq using SWAT model”, J. Environmental Hydrology, 24, 10.      </w:t>
      </w:r>
      <w:hyperlink r:id="rId66" w:history="1">
        <w:r w:rsidRPr="00FA6DE5">
          <w:rPr>
            <w:rFonts w:eastAsia="Calibri"/>
            <w:sz w:val="22"/>
            <w:szCs w:val="22"/>
            <w:u w:val="single"/>
            <w:lang w:eastAsia="en-GB"/>
          </w:rPr>
          <w:t>http://www.diva-portal.org/smash/get/diva2:1040004/ATTACHMENT01.pdf</w:t>
        </w:r>
      </w:hyperlink>
    </w:p>
    <w:p w:rsidR="00FA6DE5" w:rsidRPr="00FA6DE5" w:rsidRDefault="00FA6DE5" w:rsidP="00FA6DE5">
      <w:pPr>
        <w:widowControl/>
        <w:adjustRightInd/>
        <w:spacing w:line="240" w:lineRule="auto"/>
        <w:ind w:left="851" w:hanging="851"/>
        <w:textAlignment w:val="auto"/>
        <w:rPr>
          <w:rFonts w:eastAsia="Calibri"/>
          <w:sz w:val="22"/>
          <w:szCs w:val="22"/>
          <w:lang w:eastAsia="en-GB"/>
        </w:rPr>
      </w:pPr>
      <w:r w:rsidRPr="00FA6DE5">
        <w:rPr>
          <w:rFonts w:eastAsia="Calibri"/>
          <w:sz w:val="28"/>
          <w:szCs w:val="28"/>
          <w:lang w:eastAsia="en-US"/>
        </w:rPr>
        <w:t xml:space="preserve">[45] </w:t>
      </w:r>
      <w:r w:rsidRPr="00FA6DE5">
        <w:rPr>
          <w:rFonts w:eastAsia="Calibri"/>
          <w:sz w:val="22"/>
          <w:szCs w:val="22"/>
          <w:lang w:eastAsia="en-GB"/>
        </w:rPr>
        <w:t xml:space="preserve">Abbas N, </w:t>
      </w:r>
      <w:proofErr w:type="spellStart"/>
      <w:r w:rsidRPr="00FA6DE5">
        <w:rPr>
          <w:rFonts w:eastAsia="Calibri"/>
          <w:sz w:val="22"/>
          <w:szCs w:val="22"/>
          <w:lang w:eastAsia="en-GB"/>
        </w:rPr>
        <w:t>Wassimia</w:t>
      </w:r>
      <w:proofErr w:type="spellEnd"/>
      <w:r w:rsidRPr="00FA6DE5">
        <w:rPr>
          <w:rFonts w:eastAsia="Calibri"/>
          <w:sz w:val="22"/>
          <w:szCs w:val="22"/>
          <w:lang w:eastAsia="en-GB"/>
        </w:rPr>
        <w:t xml:space="preserve"> S, Al-Ansari N., 2016. “Assessment of Climate Change Impacts on Water Resources of Al-</w:t>
      </w:r>
      <w:proofErr w:type="spellStart"/>
      <w:r w:rsidRPr="00FA6DE5">
        <w:rPr>
          <w:rFonts w:eastAsia="Calibri"/>
          <w:sz w:val="22"/>
          <w:szCs w:val="22"/>
          <w:lang w:eastAsia="en-GB"/>
        </w:rPr>
        <w:t>Adhaim</w:t>
      </w:r>
      <w:proofErr w:type="spellEnd"/>
      <w:r w:rsidRPr="00FA6DE5">
        <w:rPr>
          <w:rFonts w:eastAsia="Calibri"/>
          <w:sz w:val="22"/>
          <w:szCs w:val="22"/>
          <w:lang w:eastAsia="en-GB"/>
        </w:rPr>
        <w:t xml:space="preserve"> Iraq Using SWAT Model”, Engineering, 8, 10, 716-732. 2016.     </w:t>
      </w:r>
    </w:p>
    <w:p w:rsidR="00FA6DE5" w:rsidRPr="00FA6DE5" w:rsidRDefault="00FA6DE5" w:rsidP="00FA6DE5">
      <w:pPr>
        <w:widowControl/>
        <w:adjustRightInd/>
        <w:spacing w:line="240" w:lineRule="auto"/>
        <w:ind w:left="851" w:hanging="851"/>
        <w:textAlignment w:val="auto"/>
        <w:rPr>
          <w:rFonts w:eastAsia="Calibri"/>
          <w:sz w:val="22"/>
          <w:szCs w:val="22"/>
          <w:lang w:eastAsia="en-GB"/>
        </w:rPr>
      </w:pPr>
      <w:r w:rsidRPr="00FA6DE5">
        <w:rPr>
          <w:rFonts w:eastAsia="Calibri"/>
          <w:sz w:val="28"/>
          <w:szCs w:val="28"/>
          <w:lang w:eastAsia="en-US"/>
        </w:rPr>
        <w:t xml:space="preserve">[46] </w:t>
      </w:r>
      <w:proofErr w:type="spellStart"/>
      <w:r w:rsidRPr="00FA6DE5">
        <w:rPr>
          <w:rFonts w:eastAsia="Calibri"/>
          <w:sz w:val="22"/>
          <w:szCs w:val="22"/>
          <w:lang w:eastAsia="en-GB"/>
        </w:rPr>
        <w:t>Holthaus</w:t>
      </w:r>
      <w:proofErr w:type="spellEnd"/>
      <w:r w:rsidRPr="00FA6DE5">
        <w:rPr>
          <w:rFonts w:eastAsia="Calibri"/>
          <w:sz w:val="22"/>
          <w:szCs w:val="22"/>
          <w:lang w:eastAsia="en-GB"/>
        </w:rPr>
        <w:t xml:space="preserve"> E., 2014. “Is Climate Change destabilizing Iraq?  “Slate, Future Tense 2014.             http://www.slate.com/articles/technology/future_tense/2014/06/isis_water_scarcity_is_climate_change_destabilizing_iraq.html</w:t>
      </w:r>
    </w:p>
    <w:p w:rsidR="00FA6DE5" w:rsidRPr="00FA6DE5" w:rsidRDefault="00FA6DE5" w:rsidP="00FA6DE5">
      <w:pPr>
        <w:widowControl/>
        <w:adjustRightInd/>
        <w:spacing w:line="240" w:lineRule="auto"/>
        <w:ind w:left="851" w:hanging="851"/>
        <w:textAlignment w:val="auto"/>
        <w:rPr>
          <w:rFonts w:eastAsia="Calibri"/>
          <w:sz w:val="22"/>
          <w:szCs w:val="22"/>
          <w:lang w:eastAsia="en-GB"/>
        </w:rPr>
      </w:pPr>
      <w:r w:rsidRPr="00FA6DE5">
        <w:rPr>
          <w:rFonts w:eastAsia="Calibri"/>
          <w:sz w:val="28"/>
          <w:szCs w:val="28"/>
          <w:lang w:eastAsia="en-US"/>
        </w:rPr>
        <w:t>[47]</w:t>
      </w:r>
      <w:r w:rsidRPr="00FA6DE5">
        <w:rPr>
          <w:rFonts w:eastAsia="Calibri"/>
          <w:sz w:val="28"/>
          <w:szCs w:val="28"/>
          <w:lang w:eastAsia="en-GB"/>
        </w:rPr>
        <w:t xml:space="preserve"> </w:t>
      </w:r>
      <w:proofErr w:type="spellStart"/>
      <w:r w:rsidRPr="00FA6DE5">
        <w:rPr>
          <w:rFonts w:eastAsia="Calibri"/>
          <w:sz w:val="22"/>
          <w:szCs w:val="22"/>
          <w:lang w:eastAsia="en-GB"/>
        </w:rPr>
        <w:t>Sivakumar</w:t>
      </w:r>
      <w:proofErr w:type="spellEnd"/>
      <w:r w:rsidRPr="00FA6DE5">
        <w:rPr>
          <w:rFonts w:eastAsia="Calibri"/>
          <w:sz w:val="22"/>
          <w:szCs w:val="22"/>
          <w:lang w:eastAsia="en-GB"/>
        </w:rPr>
        <w:t xml:space="preserve"> M., 2007. “Interaction between climate and desertification”, J. Agricultural and Forest Meteorology, 142   143-155. http://www.southwestnrm.org.au/sites/default/files/uploads/ihub/sivakumar-mvk-2007interactions-between-climate-and-desertif.pdf</w:t>
      </w:r>
    </w:p>
    <w:p w:rsidR="00FA6DE5" w:rsidRPr="00FA6DE5" w:rsidRDefault="00FA6DE5" w:rsidP="00FA6DE5">
      <w:pPr>
        <w:widowControl/>
        <w:adjustRightInd/>
        <w:spacing w:line="240" w:lineRule="auto"/>
        <w:ind w:left="851" w:hanging="851"/>
        <w:textAlignment w:val="auto"/>
        <w:rPr>
          <w:rFonts w:eastAsia="Calibri"/>
          <w:sz w:val="22"/>
          <w:szCs w:val="22"/>
          <w:lang w:eastAsia="en-GB"/>
        </w:rPr>
      </w:pPr>
      <w:r w:rsidRPr="00FA6DE5">
        <w:rPr>
          <w:rFonts w:eastAsia="Calibri"/>
          <w:sz w:val="28"/>
          <w:szCs w:val="28"/>
          <w:lang w:eastAsia="en-US"/>
        </w:rPr>
        <w:t>[48]</w:t>
      </w:r>
      <w:r w:rsidRPr="00FA6DE5">
        <w:rPr>
          <w:rFonts w:eastAsia="Calibri"/>
          <w:sz w:val="28"/>
          <w:szCs w:val="28"/>
          <w:lang w:eastAsia="en-GB"/>
        </w:rPr>
        <w:t xml:space="preserve"> </w:t>
      </w:r>
      <w:proofErr w:type="spellStart"/>
      <w:r w:rsidRPr="00FA6DE5">
        <w:rPr>
          <w:rFonts w:eastAsia="Calibri"/>
          <w:sz w:val="22"/>
          <w:szCs w:val="22"/>
          <w:lang w:eastAsia="en-GB"/>
        </w:rPr>
        <w:t>Schwartzstien</w:t>
      </w:r>
      <w:proofErr w:type="spellEnd"/>
      <w:r w:rsidRPr="00FA6DE5">
        <w:rPr>
          <w:rFonts w:eastAsia="Calibri"/>
          <w:sz w:val="22"/>
          <w:szCs w:val="22"/>
          <w:lang w:eastAsia="en-GB"/>
        </w:rPr>
        <w:t xml:space="preserve"> P., 2015. “Iraq’s Famed Marshes Are Disappearing-Again”. National Geographic.  July 2015.                                 http://news.nationalgeographic.com/2015/07/150709-iraq-marsh-arabs-middle-east-water-environment-world/</w:t>
      </w:r>
    </w:p>
    <w:p w:rsidR="00FA6DE5" w:rsidRPr="00FA6DE5" w:rsidRDefault="00FA6DE5" w:rsidP="00FA6DE5">
      <w:pPr>
        <w:widowControl/>
        <w:adjustRightInd/>
        <w:spacing w:line="240" w:lineRule="auto"/>
        <w:ind w:left="851" w:hanging="851"/>
        <w:textAlignment w:val="auto"/>
        <w:rPr>
          <w:rFonts w:eastAsia="Calibri"/>
          <w:sz w:val="22"/>
          <w:szCs w:val="22"/>
          <w:lang w:eastAsia="en-GB"/>
        </w:rPr>
      </w:pPr>
      <w:r w:rsidRPr="00FA6DE5">
        <w:rPr>
          <w:rFonts w:eastAsia="Calibri"/>
          <w:sz w:val="28"/>
          <w:szCs w:val="28"/>
          <w:lang w:eastAsia="en-US"/>
        </w:rPr>
        <w:t xml:space="preserve">[49] </w:t>
      </w:r>
      <w:r w:rsidRPr="00FA6DE5">
        <w:rPr>
          <w:rFonts w:eastAsia="Calibri"/>
          <w:sz w:val="22"/>
          <w:szCs w:val="22"/>
          <w:lang w:eastAsia="en-GB"/>
        </w:rPr>
        <w:t>UNDP, 2009. “UNDP helps drought-stricken Iraq combat effects of climate change”. Dec 16, 2009,             http://www.undp.org/content/undp/en/home/presscenter/articles/2009/12/16/undp-helps-drought-stricken-iraq-combat-effects-of-climate-change.html</w:t>
      </w:r>
    </w:p>
    <w:p w:rsidR="00FA6DE5" w:rsidRPr="00FA6DE5" w:rsidRDefault="00FA6DE5" w:rsidP="00FA6DE5">
      <w:pPr>
        <w:widowControl/>
        <w:adjustRightInd/>
        <w:spacing w:line="240" w:lineRule="auto"/>
        <w:ind w:left="851" w:hanging="851"/>
        <w:textAlignment w:val="auto"/>
        <w:rPr>
          <w:rFonts w:eastAsia="Calibri"/>
          <w:sz w:val="22"/>
          <w:szCs w:val="22"/>
          <w:lang w:eastAsia="en-GB"/>
        </w:rPr>
      </w:pPr>
      <w:r w:rsidRPr="00FA6DE5">
        <w:rPr>
          <w:rFonts w:eastAsia="Calibri"/>
          <w:sz w:val="28"/>
          <w:szCs w:val="28"/>
          <w:lang w:eastAsia="en-US"/>
        </w:rPr>
        <w:t xml:space="preserve"> </w:t>
      </w:r>
      <w:r w:rsidRPr="00FA6DE5">
        <w:rPr>
          <w:rFonts w:eastAsia="Calibri"/>
          <w:sz w:val="28"/>
          <w:szCs w:val="28"/>
          <w:lang w:val="sv-SE" w:eastAsia="en-US"/>
        </w:rPr>
        <w:t>[50]</w:t>
      </w:r>
      <w:r w:rsidRPr="00FA6DE5">
        <w:rPr>
          <w:rFonts w:eastAsia="Calibri"/>
          <w:sz w:val="28"/>
          <w:szCs w:val="28"/>
          <w:lang w:val="sv-SE" w:eastAsia="en-GB"/>
        </w:rPr>
        <w:t xml:space="preserve"> </w:t>
      </w:r>
      <w:r w:rsidRPr="00FA6DE5">
        <w:rPr>
          <w:rFonts w:eastAsia="Calibri"/>
          <w:sz w:val="22"/>
          <w:szCs w:val="22"/>
          <w:lang w:val="sv-SE" w:eastAsia="en-GB"/>
        </w:rPr>
        <w:t xml:space="preserve">Sissakian V, Al-Ansari N, Knutsson S., 2013. </w:t>
      </w:r>
      <w:r w:rsidRPr="00FA6DE5">
        <w:rPr>
          <w:rFonts w:eastAsia="Calibri"/>
          <w:sz w:val="22"/>
          <w:szCs w:val="22"/>
          <w:lang w:eastAsia="en-GB"/>
        </w:rPr>
        <w:t xml:space="preserve">"Sand and Dust Storm events in Iraq". Natural Science, 5, 10, 1084-1094.  </w:t>
      </w:r>
      <w:hyperlink r:id="rId67" w:history="1">
        <w:r w:rsidRPr="00FA6DE5">
          <w:rPr>
            <w:rFonts w:eastAsia="Calibri"/>
            <w:sz w:val="22"/>
            <w:szCs w:val="22"/>
            <w:u w:val="single"/>
            <w:lang w:eastAsia="en-GB"/>
          </w:rPr>
          <w:t>http://file.scirp.org/pdf/NS_2013101014315787.pdf</w:t>
        </w:r>
      </w:hyperlink>
      <w:r w:rsidRPr="00FA6DE5">
        <w:rPr>
          <w:rFonts w:eastAsia="Calibri"/>
          <w:sz w:val="22"/>
          <w:szCs w:val="22"/>
          <w:lang w:eastAsia="en-GB"/>
        </w:rPr>
        <w:t xml:space="preserve"> </w:t>
      </w:r>
    </w:p>
    <w:p w:rsidR="00FA6DE5" w:rsidRPr="00FA6DE5" w:rsidRDefault="00FA6DE5" w:rsidP="00FA6DE5">
      <w:pPr>
        <w:widowControl/>
        <w:adjustRightInd/>
        <w:spacing w:line="240" w:lineRule="auto"/>
        <w:ind w:left="851" w:hanging="851"/>
        <w:textAlignment w:val="auto"/>
        <w:rPr>
          <w:rFonts w:eastAsia="Calibri"/>
          <w:sz w:val="22"/>
          <w:szCs w:val="22"/>
          <w:lang w:eastAsia="en-GB"/>
        </w:rPr>
      </w:pPr>
      <w:r w:rsidRPr="00FA6DE5">
        <w:rPr>
          <w:rFonts w:eastAsia="Calibri"/>
          <w:sz w:val="28"/>
          <w:szCs w:val="28"/>
          <w:lang w:eastAsia="en-US"/>
        </w:rPr>
        <w:t xml:space="preserve">[51] </w:t>
      </w:r>
      <w:proofErr w:type="gramStart"/>
      <w:r w:rsidRPr="00FA6DE5">
        <w:rPr>
          <w:rFonts w:eastAsia="Calibri"/>
          <w:sz w:val="22"/>
          <w:szCs w:val="22"/>
          <w:lang w:eastAsia="en-GB"/>
        </w:rPr>
        <w:t>UN  Iraq</w:t>
      </w:r>
      <w:proofErr w:type="gramEnd"/>
      <w:r w:rsidRPr="00FA6DE5">
        <w:rPr>
          <w:rFonts w:eastAsia="Calibri"/>
          <w:sz w:val="22"/>
          <w:szCs w:val="22"/>
          <w:lang w:eastAsia="en-GB"/>
        </w:rPr>
        <w:t>, 2013. “Sand and dust storms in Iraq fact sheet”.  Joint Analysis and Policy Unit, 2013. http://reliefweb.int/sites/reliefweb.int/files/resources/SDS%20Fact%20Sheet.pdf</w:t>
      </w:r>
    </w:p>
    <w:p w:rsidR="00FA6DE5" w:rsidRPr="00FA6DE5" w:rsidRDefault="00FA6DE5" w:rsidP="00FA6DE5">
      <w:pPr>
        <w:widowControl/>
        <w:adjustRightInd/>
        <w:spacing w:line="240" w:lineRule="auto"/>
        <w:ind w:left="851" w:hanging="851"/>
        <w:textAlignment w:val="auto"/>
        <w:rPr>
          <w:rFonts w:eastAsia="Calibri"/>
          <w:sz w:val="22"/>
          <w:szCs w:val="22"/>
          <w:lang w:eastAsia="en-GB"/>
        </w:rPr>
      </w:pPr>
      <w:r w:rsidRPr="00FA6DE5">
        <w:rPr>
          <w:rFonts w:eastAsia="Calibri"/>
          <w:sz w:val="28"/>
          <w:szCs w:val="28"/>
          <w:lang w:eastAsia="en-US"/>
        </w:rPr>
        <w:t xml:space="preserve">[52] </w:t>
      </w:r>
      <w:r w:rsidRPr="00FA6DE5">
        <w:rPr>
          <w:rFonts w:eastAsia="Calibri"/>
          <w:sz w:val="22"/>
          <w:szCs w:val="22"/>
          <w:lang w:eastAsia="en-GB"/>
        </w:rPr>
        <w:t>DTF, 2013. “Integrated desert terrain forecasting for military operations”. Desert Research Institute. https://www.dri.edu/images/stories/editors/deeseditor/DEESdocs/DTF-web-sm.pdf</w:t>
      </w:r>
    </w:p>
    <w:p w:rsidR="00FA6DE5" w:rsidRPr="00FA6DE5" w:rsidRDefault="00FA6DE5" w:rsidP="00FA6DE5">
      <w:pPr>
        <w:widowControl/>
        <w:adjustRightInd/>
        <w:spacing w:line="240" w:lineRule="auto"/>
        <w:ind w:left="851" w:hanging="851"/>
        <w:textAlignment w:val="auto"/>
        <w:rPr>
          <w:rFonts w:eastAsia="Calibri"/>
          <w:sz w:val="22"/>
          <w:szCs w:val="22"/>
          <w:lang w:eastAsia="en-GB"/>
        </w:rPr>
      </w:pPr>
      <w:r w:rsidRPr="00FA6DE5">
        <w:rPr>
          <w:rFonts w:eastAsia="Calibri"/>
          <w:sz w:val="28"/>
          <w:szCs w:val="28"/>
          <w:lang w:eastAsia="en-US"/>
        </w:rPr>
        <w:t xml:space="preserve">[53] </w:t>
      </w:r>
      <w:r w:rsidRPr="00FA6DE5">
        <w:rPr>
          <w:rFonts w:eastAsia="Calibri"/>
          <w:sz w:val="22"/>
          <w:szCs w:val="22"/>
          <w:lang w:eastAsia="en-GB"/>
        </w:rPr>
        <w:t xml:space="preserve">El </w:t>
      </w:r>
      <w:proofErr w:type="spellStart"/>
      <w:r w:rsidRPr="00FA6DE5">
        <w:rPr>
          <w:rFonts w:eastAsia="Calibri"/>
          <w:sz w:val="22"/>
          <w:szCs w:val="22"/>
          <w:lang w:eastAsia="en-GB"/>
        </w:rPr>
        <w:t>Raey</w:t>
      </w:r>
      <w:proofErr w:type="spellEnd"/>
      <w:r w:rsidRPr="00FA6DE5">
        <w:rPr>
          <w:rFonts w:eastAsia="Calibri"/>
          <w:sz w:val="22"/>
          <w:szCs w:val="22"/>
          <w:lang w:eastAsia="en-GB"/>
        </w:rPr>
        <w:t xml:space="preserve"> M.</w:t>
      </w:r>
      <w:proofErr w:type="gramStart"/>
      <w:r w:rsidRPr="00FA6DE5">
        <w:rPr>
          <w:rFonts w:eastAsia="Calibri"/>
          <w:sz w:val="22"/>
          <w:szCs w:val="22"/>
          <w:lang w:eastAsia="en-GB"/>
        </w:rPr>
        <w:t>,2010</w:t>
      </w:r>
      <w:proofErr w:type="gramEnd"/>
      <w:r w:rsidRPr="00FA6DE5">
        <w:rPr>
          <w:rFonts w:eastAsia="Calibri"/>
          <w:sz w:val="22"/>
          <w:szCs w:val="22"/>
          <w:lang w:eastAsia="en-GB"/>
        </w:rPr>
        <w:t>. “Impact of sea level rise on the Arab Region,</w:t>
      </w:r>
      <w:proofErr w:type="gramStart"/>
      <w:r w:rsidRPr="00FA6DE5">
        <w:rPr>
          <w:rFonts w:eastAsia="Calibri"/>
          <w:sz w:val="22"/>
          <w:szCs w:val="22"/>
          <w:lang w:eastAsia="en-GB"/>
        </w:rPr>
        <w:t>”  University</w:t>
      </w:r>
      <w:proofErr w:type="gramEnd"/>
      <w:r w:rsidRPr="00FA6DE5">
        <w:rPr>
          <w:rFonts w:eastAsia="Calibri"/>
          <w:sz w:val="22"/>
          <w:szCs w:val="22"/>
          <w:lang w:eastAsia="en-GB"/>
        </w:rPr>
        <w:t xml:space="preserve"> of Alexandria. Arab Academy of Science, Technology, and Maritime, 2010. </w:t>
      </w:r>
      <w:proofErr w:type="spellStart"/>
      <w:r w:rsidRPr="00FA6DE5">
        <w:rPr>
          <w:rFonts w:eastAsia="Calibri"/>
          <w:sz w:val="22"/>
          <w:szCs w:val="22"/>
          <w:lang w:eastAsia="en-GB"/>
        </w:rPr>
        <w:t>Transpor</w:t>
      </w:r>
      <w:proofErr w:type="spellEnd"/>
      <w:r w:rsidRPr="00FA6DE5">
        <w:rPr>
          <w:rFonts w:eastAsia="Calibri"/>
          <w:sz w:val="22"/>
          <w:szCs w:val="22"/>
          <w:lang w:eastAsia="en-GB"/>
        </w:rPr>
        <w:t xml:space="preserve">                 </w:t>
      </w:r>
      <w:r w:rsidRPr="00FA6DE5">
        <w:rPr>
          <w:rFonts w:eastAsia="Calibri"/>
          <w:sz w:val="22"/>
          <w:szCs w:val="22"/>
          <w:lang w:eastAsia="en-GB"/>
        </w:rPr>
        <w:lastRenderedPageBreak/>
        <w:t>https://www.researchgate.net/publication/266454174_Impact_of_Sea_Level_Rise_on_the_Arab_Region</w:t>
      </w:r>
    </w:p>
    <w:p w:rsidR="00FA6DE5" w:rsidRPr="00FA6DE5" w:rsidRDefault="00FA6DE5" w:rsidP="00FA6DE5">
      <w:pPr>
        <w:widowControl/>
        <w:adjustRightInd/>
        <w:spacing w:line="240" w:lineRule="auto"/>
        <w:ind w:left="851" w:hanging="851"/>
        <w:textAlignment w:val="auto"/>
        <w:rPr>
          <w:rFonts w:eastAsia="Calibri"/>
          <w:sz w:val="22"/>
          <w:szCs w:val="22"/>
          <w:lang w:eastAsia="en-GB"/>
        </w:rPr>
      </w:pPr>
    </w:p>
    <w:p w:rsidR="00EF5A57" w:rsidRDefault="00EF5A57" w:rsidP="003150B9">
      <w:pPr>
        <w:spacing w:after="240" w:line="360" w:lineRule="auto"/>
        <w:rPr>
          <w:szCs w:val="24"/>
        </w:rPr>
      </w:pPr>
    </w:p>
    <w:p w:rsidR="00EF5A57" w:rsidRDefault="00EF5A57" w:rsidP="003150B9">
      <w:pPr>
        <w:spacing w:after="240" w:line="360" w:lineRule="auto"/>
        <w:rPr>
          <w:szCs w:val="24"/>
        </w:rPr>
      </w:pPr>
    </w:p>
    <w:p w:rsidR="00EF5A57" w:rsidRDefault="00EF5A57" w:rsidP="003150B9">
      <w:pPr>
        <w:spacing w:after="240" w:line="360" w:lineRule="auto"/>
        <w:rPr>
          <w:szCs w:val="24"/>
        </w:rPr>
      </w:pPr>
    </w:p>
    <w:p w:rsidR="00EF5A57" w:rsidRDefault="00EF5A57" w:rsidP="003150B9">
      <w:pPr>
        <w:spacing w:after="240" w:line="360" w:lineRule="auto"/>
        <w:rPr>
          <w:szCs w:val="24"/>
        </w:rPr>
      </w:pPr>
    </w:p>
    <w:p w:rsidR="00EF5A57" w:rsidRDefault="00EF5A57" w:rsidP="003150B9">
      <w:pPr>
        <w:spacing w:after="240" w:line="360" w:lineRule="auto"/>
        <w:rPr>
          <w:szCs w:val="24"/>
        </w:rPr>
      </w:pPr>
    </w:p>
    <w:p w:rsidR="00EF5A57" w:rsidRDefault="00EF5A57" w:rsidP="003150B9">
      <w:pPr>
        <w:spacing w:after="240" w:line="360" w:lineRule="auto"/>
        <w:rPr>
          <w:szCs w:val="24"/>
        </w:rPr>
      </w:pPr>
    </w:p>
    <w:p w:rsidR="00EF5A57" w:rsidRDefault="00EF5A57" w:rsidP="003150B9">
      <w:pPr>
        <w:spacing w:after="240" w:line="360" w:lineRule="auto"/>
        <w:rPr>
          <w:szCs w:val="24"/>
        </w:rPr>
      </w:pPr>
    </w:p>
    <w:p w:rsidR="00EF5A57" w:rsidRDefault="00EF5A57" w:rsidP="003150B9">
      <w:pPr>
        <w:spacing w:after="240" w:line="360" w:lineRule="auto"/>
        <w:rPr>
          <w:szCs w:val="24"/>
        </w:rPr>
      </w:pPr>
    </w:p>
    <w:p w:rsidR="00EF5A57" w:rsidRDefault="00EF5A57" w:rsidP="003150B9">
      <w:pPr>
        <w:spacing w:after="240" w:line="360" w:lineRule="auto"/>
        <w:rPr>
          <w:szCs w:val="24"/>
        </w:rPr>
      </w:pPr>
    </w:p>
    <w:p w:rsidR="00EF5A57" w:rsidRDefault="00EF5A57" w:rsidP="003150B9">
      <w:pPr>
        <w:spacing w:after="240" w:line="360" w:lineRule="auto"/>
        <w:rPr>
          <w:szCs w:val="24"/>
        </w:rPr>
      </w:pPr>
    </w:p>
    <w:p w:rsidR="00EF5A57" w:rsidRDefault="00EF5A57" w:rsidP="003150B9">
      <w:pPr>
        <w:spacing w:after="240" w:line="360" w:lineRule="auto"/>
        <w:rPr>
          <w:szCs w:val="24"/>
        </w:rPr>
      </w:pPr>
    </w:p>
    <w:p w:rsidR="00EF5A57" w:rsidRDefault="00EF5A57" w:rsidP="003150B9">
      <w:pPr>
        <w:spacing w:after="240" w:line="360" w:lineRule="auto"/>
        <w:rPr>
          <w:szCs w:val="24"/>
        </w:rPr>
      </w:pPr>
    </w:p>
    <w:p w:rsidR="00EF5A57" w:rsidRDefault="00EF5A57" w:rsidP="003150B9">
      <w:pPr>
        <w:spacing w:after="240" w:line="360" w:lineRule="auto"/>
        <w:rPr>
          <w:szCs w:val="24"/>
        </w:rPr>
      </w:pPr>
    </w:p>
    <w:p w:rsidR="00EF5A57" w:rsidRDefault="00EF5A57" w:rsidP="003150B9">
      <w:pPr>
        <w:spacing w:after="240" w:line="360" w:lineRule="auto"/>
        <w:rPr>
          <w:szCs w:val="24"/>
        </w:rPr>
      </w:pPr>
    </w:p>
    <w:p w:rsidR="00EF5A57" w:rsidRDefault="00EF5A57" w:rsidP="003150B9">
      <w:pPr>
        <w:spacing w:after="240" w:line="360" w:lineRule="auto"/>
        <w:rPr>
          <w:szCs w:val="24"/>
        </w:rPr>
      </w:pPr>
    </w:p>
    <w:p w:rsidR="00EF5A57" w:rsidRDefault="00EF5A57" w:rsidP="003150B9">
      <w:pPr>
        <w:spacing w:after="240" w:line="360" w:lineRule="auto"/>
        <w:rPr>
          <w:szCs w:val="24"/>
        </w:rPr>
      </w:pPr>
    </w:p>
    <w:p w:rsidR="00EF5A57" w:rsidRDefault="00EF5A57" w:rsidP="003150B9">
      <w:pPr>
        <w:spacing w:after="240" w:line="360" w:lineRule="auto"/>
        <w:rPr>
          <w:szCs w:val="24"/>
        </w:rPr>
      </w:pPr>
    </w:p>
    <w:p w:rsidR="00EF5A57" w:rsidRDefault="00EF5A57" w:rsidP="003150B9">
      <w:pPr>
        <w:spacing w:after="240" w:line="360" w:lineRule="auto"/>
        <w:rPr>
          <w:szCs w:val="24"/>
        </w:rPr>
      </w:pPr>
    </w:p>
    <w:p w:rsidR="00EF5A57" w:rsidRDefault="00EF5A57" w:rsidP="003150B9">
      <w:pPr>
        <w:spacing w:after="240" w:line="360" w:lineRule="auto"/>
        <w:rPr>
          <w:szCs w:val="24"/>
        </w:rPr>
      </w:pPr>
    </w:p>
    <w:p w:rsidR="00EF5A57" w:rsidRDefault="00EF5A57" w:rsidP="003150B9">
      <w:pPr>
        <w:spacing w:after="240" w:line="360" w:lineRule="auto"/>
        <w:rPr>
          <w:szCs w:val="24"/>
        </w:rPr>
      </w:pPr>
    </w:p>
    <w:p w:rsidR="00EF5A57" w:rsidRDefault="00EF5A57" w:rsidP="003150B9">
      <w:pPr>
        <w:spacing w:after="240" w:line="360" w:lineRule="auto"/>
        <w:rPr>
          <w:szCs w:val="24"/>
        </w:rPr>
      </w:pPr>
    </w:p>
    <w:p w:rsidR="00EF5A57" w:rsidRDefault="00EF5A57" w:rsidP="003150B9">
      <w:pPr>
        <w:spacing w:after="240" w:line="360" w:lineRule="auto"/>
        <w:rPr>
          <w:szCs w:val="24"/>
        </w:rPr>
      </w:pPr>
    </w:p>
    <w:p w:rsidR="00EF5A57" w:rsidRDefault="00EF5A57" w:rsidP="003150B9">
      <w:pPr>
        <w:spacing w:after="240" w:line="360" w:lineRule="auto"/>
        <w:rPr>
          <w:szCs w:val="24"/>
        </w:rPr>
      </w:pPr>
    </w:p>
    <w:p w:rsidR="00EF5A57" w:rsidRDefault="00EF5A57" w:rsidP="003150B9">
      <w:pPr>
        <w:spacing w:after="240" w:line="360" w:lineRule="auto"/>
        <w:rPr>
          <w:szCs w:val="24"/>
        </w:rPr>
      </w:pPr>
    </w:p>
    <w:sectPr w:rsidR="00EF5A57" w:rsidSect="000375F9">
      <w:pgSz w:w="10840" w:h="15060" w:code="9"/>
      <w:pgMar w:top="1440" w:right="1440" w:bottom="1440" w:left="1440" w:header="720" w:footer="720" w:gutter="0"/>
      <w:pgNumType w:start="1"/>
      <w:cols w:space="425"/>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6476F" w:rsidRDefault="00E6476F">
      <w:r>
        <w:separator/>
      </w:r>
    </w:p>
  </w:endnote>
  <w:endnote w:type="continuationSeparator" w:id="0">
    <w:p w:rsidR="00E6476F" w:rsidRDefault="00E6476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PMingLiU">
    <w:altName w:val="Microsoft JhengHei"/>
    <w:panose1 w:val="02010601000101010101"/>
    <w:charset w:val="88"/>
    <w:family w:val="roman"/>
    <w:pitch w:val="variable"/>
    <w:sig w:usb0="00000000" w:usb1="28CFFCFA" w:usb2="00000016" w:usb3="00000000" w:csb0="00100001" w:csb1="00000000"/>
  </w:font>
  <w:font w:name="MingLiU">
    <w:altName w:val="Microsoft JhengHei"/>
    <w:panose1 w:val="02010609000101010101"/>
    <w:charset w:val="88"/>
    <w:family w:val="modern"/>
    <w:pitch w:val="fixed"/>
    <w:sig w:usb0="00000000"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 w:name="Tms Rmn">
    <w:panose1 w:val="02020603040505020304"/>
    <w:charset w:val="00"/>
    <w:family w:val="roma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247B" w:usb2="00000009" w:usb3="00000000" w:csb0="000001FF" w:csb1="00000000"/>
  </w:font>
  <w:font w:name="MS Mincho">
    <w:altName w:val="Yu Gothic UI"/>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6476F" w:rsidRDefault="00E6476F">
      <w:r>
        <w:separator/>
      </w:r>
    </w:p>
  </w:footnote>
  <w:footnote w:type="continuationSeparator" w:id="0">
    <w:p w:rsidR="00E6476F" w:rsidRDefault="00E6476F">
      <w:r>
        <w:continuationSeparator/>
      </w:r>
    </w:p>
  </w:footnote>
  <w:footnote w:id="1">
    <w:p w:rsidR="006D1FE7" w:rsidRPr="000375F9" w:rsidRDefault="006D1FE7" w:rsidP="006D1FE7">
      <w:pPr>
        <w:pStyle w:val="FootnoteText"/>
        <w:spacing w:line="240" w:lineRule="auto"/>
        <w:rPr>
          <w:sz w:val="22"/>
          <w:szCs w:val="22"/>
        </w:rPr>
      </w:pPr>
      <w:r>
        <w:rPr>
          <w:rStyle w:val="FootnoteReference"/>
        </w:rPr>
        <w:footnoteRef/>
      </w:r>
      <w:r>
        <w:t xml:space="preserve"> </w:t>
      </w:r>
      <w:r w:rsidRPr="0076648F">
        <w:rPr>
          <w:sz w:val="22"/>
          <w:szCs w:val="22"/>
        </w:rPr>
        <w:t xml:space="preserve">Consultant Engineer, </w:t>
      </w:r>
      <w:proofErr w:type="spellStart"/>
      <w:r w:rsidRPr="0076648F">
        <w:rPr>
          <w:sz w:val="22"/>
          <w:szCs w:val="22"/>
        </w:rPr>
        <w:t>Norrköping</w:t>
      </w:r>
      <w:proofErr w:type="spellEnd"/>
      <w:r w:rsidRPr="0076648F">
        <w:rPr>
          <w:sz w:val="22"/>
          <w:szCs w:val="22"/>
        </w:rPr>
        <w:t xml:space="preserve">, Sweden. </w:t>
      </w:r>
      <w:hyperlink r:id="rId1" w:history="1">
        <w:r w:rsidRPr="002E50D1">
          <w:rPr>
            <w:rStyle w:val="Hyperlink"/>
            <w:sz w:val="22"/>
            <w:szCs w:val="22"/>
          </w:rPr>
          <w:t>nasrat.adamo@gmail.com</w:t>
        </w:r>
      </w:hyperlink>
      <w:r>
        <w:rPr>
          <w:sz w:val="22"/>
          <w:szCs w:val="22"/>
        </w:rPr>
        <w:t xml:space="preserve"> </w:t>
      </w:r>
    </w:p>
  </w:footnote>
  <w:footnote w:id="2">
    <w:p w:rsidR="006D1FE7" w:rsidRDefault="006D1FE7" w:rsidP="006D1FE7">
      <w:pPr>
        <w:pStyle w:val="FootnoteText"/>
        <w:spacing w:line="240" w:lineRule="auto"/>
        <w:rPr>
          <w:sz w:val="22"/>
          <w:szCs w:val="22"/>
        </w:rPr>
      </w:pPr>
      <w:r w:rsidRPr="00CA08EC">
        <w:rPr>
          <w:rStyle w:val="FootnoteReference"/>
        </w:rPr>
        <w:footnoteRef/>
      </w:r>
      <w:r w:rsidRPr="000375F9">
        <w:rPr>
          <w:sz w:val="22"/>
          <w:szCs w:val="22"/>
        </w:rPr>
        <w:t xml:space="preserve"> </w:t>
      </w:r>
      <w:r>
        <w:rPr>
          <w:sz w:val="22"/>
          <w:szCs w:val="22"/>
        </w:rPr>
        <w:t xml:space="preserve">Lulea University of Technology, Lulea 971 87, Sweden. </w:t>
      </w:r>
      <w:hyperlink r:id="rId2" w:history="1">
        <w:r>
          <w:rPr>
            <w:rStyle w:val="Hyperlink"/>
            <w:sz w:val="22"/>
            <w:szCs w:val="22"/>
          </w:rPr>
          <w:t>nadhir.alansari@ltu.se</w:t>
        </w:r>
      </w:hyperlink>
      <w:r>
        <w:rPr>
          <w:sz w:val="22"/>
          <w:szCs w:val="22"/>
        </w:rPr>
        <w:t xml:space="preserve">, </w:t>
      </w:r>
    </w:p>
    <w:p w:rsidR="006D1FE7" w:rsidRPr="0076648F" w:rsidRDefault="006D1FE7" w:rsidP="006D1FE7">
      <w:pPr>
        <w:pStyle w:val="FootnoteText"/>
        <w:spacing w:line="240" w:lineRule="auto"/>
        <w:rPr>
          <w:sz w:val="22"/>
          <w:szCs w:val="22"/>
        </w:rPr>
      </w:pPr>
      <w:r w:rsidRPr="0076648F">
        <w:rPr>
          <w:sz w:val="22"/>
          <w:szCs w:val="22"/>
          <w:vertAlign w:val="superscript"/>
        </w:rPr>
        <w:t>3</w:t>
      </w:r>
      <w:r>
        <w:rPr>
          <w:sz w:val="22"/>
          <w:szCs w:val="22"/>
        </w:rPr>
        <w:t xml:space="preserve"> </w:t>
      </w:r>
      <w:r w:rsidRPr="0076648F">
        <w:rPr>
          <w:sz w:val="22"/>
          <w:szCs w:val="22"/>
        </w:rPr>
        <w:t xml:space="preserve">University of Kurdistan, </w:t>
      </w:r>
      <w:proofErr w:type="spellStart"/>
      <w:r w:rsidRPr="0076648F">
        <w:rPr>
          <w:sz w:val="22"/>
          <w:szCs w:val="22"/>
        </w:rPr>
        <w:t>Hewler</w:t>
      </w:r>
      <w:proofErr w:type="spellEnd"/>
      <w:r w:rsidRPr="0076648F">
        <w:rPr>
          <w:sz w:val="22"/>
          <w:szCs w:val="22"/>
        </w:rPr>
        <w:t xml:space="preserve">, KRG, Iraq. </w:t>
      </w:r>
      <w:hyperlink r:id="rId3" w:history="1">
        <w:r w:rsidRPr="002E50D1">
          <w:rPr>
            <w:rStyle w:val="Hyperlink"/>
            <w:sz w:val="22"/>
            <w:szCs w:val="22"/>
          </w:rPr>
          <w:t>f.khajeek@ukh.edu.krd</w:t>
        </w:r>
      </w:hyperlink>
      <w:r>
        <w:rPr>
          <w:sz w:val="22"/>
          <w:szCs w:val="22"/>
        </w:rPr>
        <w:t xml:space="preserve"> </w:t>
      </w:r>
      <w:r w:rsidRPr="0076648F">
        <w:rPr>
          <w:sz w:val="22"/>
          <w:szCs w:val="22"/>
        </w:rPr>
        <w:t xml:space="preserve">. Private </w:t>
      </w:r>
      <w:r>
        <w:rPr>
          <w:sz w:val="22"/>
          <w:szCs w:val="22"/>
        </w:rPr>
        <w:t>C</w:t>
      </w:r>
      <w:r w:rsidRPr="0076648F">
        <w:rPr>
          <w:sz w:val="22"/>
          <w:szCs w:val="22"/>
        </w:rPr>
        <w:t xml:space="preserve">onsultant Geologist. </w:t>
      </w:r>
      <w:hyperlink r:id="rId4" w:history="1">
        <w:r w:rsidRPr="002E50D1">
          <w:rPr>
            <w:rStyle w:val="Hyperlink"/>
            <w:sz w:val="22"/>
            <w:szCs w:val="22"/>
          </w:rPr>
          <w:t>varoujan49@yahoo.com</w:t>
        </w:r>
      </w:hyperlink>
      <w:r>
        <w:rPr>
          <w:sz w:val="22"/>
          <w:szCs w:val="22"/>
        </w:rPr>
        <w:t xml:space="preserve"> </w:t>
      </w:r>
    </w:p>
  </w:footnote>
  <w:footnote w:id="3">
    <w:p w:rsidR="006D1FE7" w:rsidRPr="000375F9" w:rsidRDefault="006D1FE7" w:rsidP="006D1FE7">
      <w:pPr>
        <w:pStyle w:val="FootnoteText"/>
        <w:spacing w:line="240" w:lineRule="auto"/>
        <w:rPr>
          <w:sz w:val="22"/>
          <w:szCs w:val="22"/>
        </w:rPr>
      </w:pPr>
    </w:p>
    <w:p w:rsidR="006D1FE7" w:rsidRDefault="006D1FE7" w:rsidP="006D1FE7">
      <w:pPr>
        <w:pStyle w:val="FootnoteText"/>
        <w:spacing w:line="240" w:lineRule="auto"/>
      </w:pPr>
    </w:p>
    <w:p w:rsidR="006D1FE7" w:rsidRPr="00A95D65" w:rsidRDefault="006D1FE7" w:rsidP="006D1FE7">
      <w:pPr>
        <w:pStyle w:val="BodyText"/>
        <w:spacing w:line="240" w:lineRule="auto"/>
        <w:jc w:val="left"/>
        <w:rPr>
          <w:rFonts w:ascii="Times New Roman" w:eastAsia="MS Mincho" w:hAnsi="Times New Roman"/>
          <w:b w:val="0"/>
          <w:color w:val="000000"/>
          <w:sz w:val="22"/>
          <w:szCs w:val="22"/>
          <w:lang w:eastAsia="ja-JP"/>
        </w:rPr>
      </w:pPr>
      <w:r w:rsidRPr="00A95D65">
        <w:rPr>
          <w:rFonts w:ascii="Times New Roman" w:eastAsia="MS Mincho" w:hAnsi="Times New Roman"/>
          <w:b w:val="0"/>
          <w:color w:val="000000"/>
          <w:sz w:val="22"/>
          <w:szCs w:val="22"/>
          <w:lang w:eastAsia="ja-JP"/>
        </w:rPr>
        <w:t xml:space="preserve">Article Info: </w:t>
      </w:r>
      <w:proofErr w:type="gramStart"/>
      <w:r w:rsidRPr="00A95D65">
        <w:rPr>
          <w:rFonts w:ascii="Times New Roman" w:eastAsia="MS Mincho" w:hAnsi="Times New Roman"/>
          <w:b w:val="0"/>
          <w:i/>
          <w:color w:val="000000"/>
          <w:sz w:val="22"/>
          <w:szCs w:val="22"/>
          <w:lang w:eastAsia="ja-JP"/>
        </w:rPr>
        <w:t xml:space="preserve">Received </w:t>
      </w:r>
      <w:r w:rsidRPr="00A95D65">
        <w:rPr>
          <w:rFonts w:ascii="Times New Roman" w:eastAsia="MS Mincho" w:hAnsi="Times New Roman"/>
          <w:b w:val="0"/>
          <w:color w:val="000000"/>
          <w:sz w:val="22"/>
          <w:szCs w:val="22"/>
          <w:lang w:eastAsia="ja-JP"/>
        </w:rPr>
        <w:t>:</w:t>
      </w:r>
      <w:proofErr w:type="gramEnd"/>
      <w:r w:rsidRPr="00A95D65">
        <w:rPr>
          <w:rFonts w:ascii="Times New Roman" w:eastAsia="MS Mincho" w:hAnsi="Times New Roman"/>
          <w:b w:val="0"/>
          <w:i/>
          <w:color w:val="000000"/>
          <w:sz w:val="22"/>
          <w:szCs w:val="22"/>
          <w:lang w:eastAsia="ja-JP"/>
        </w:rPr>
        <w:t xml:space="preserve"> </w:t>
      </w:r>
      <w:r w:rsidRPr="00A95D65">
        <w:rPr>
          <w:rFonts w:ascii="Times New Roman" w:eastAsia="MS Mincho" w:hAnsi="Times New Roman"/>
          <w:b w:val="0"/>
          <w:color w:val="000000"/>
          <w:sz w:val="22"/>
          <w:szCs w:val="22"/>
          <w:lang w:eastAsia="ja-JP"/>
        </w:rPr>
        <w:t>January 10, 2011</w:t>
      </w:r>
      <w:r w:rsidRPr="00A95D65">
        <w:rPr>
          <w:rFonts w:ascii="Times New Roman" w:eastAsia="MS Mincho" w:hAnsi="Times New Roman"/>
          <w:b w:val="0"/>
          <w:i/>
          <w:color w:val="000000"/>
          <w:sz w:val="22"/>
          <w:szCs w:val="22"/>
          <w:lang w:eastAsia="ja-JP"/>
        </w:rPr>
        <w:t>. Published online</w:t>
      </w:r>
      <w:r w:rsidRPr="00A95D65">
        <w:rPr>
          <w:rFonts w:ascii="Times New Roman" w:eastAsia="MS Mincho" w:hAnsi="Times New Roman"/>
          <w:b w:val="0"/>
          <w:color w:val="000000"/>
          <w:sz w:val="22"/>
          <w:szCs w:val="22"/>
          <w:lang w:eastAsia="ja-JP"/>
        </w:rPr>
        <w:t xml:space="preserve"> : July</w:t>
      </w:r>
      <w:r>
        <w:rPr>
          <w:rFonts w:ascii="Times New Roman" w:eastAsia="MS Mincho" w:hAnsi="Times New Roman"/>
          <w:b w:val="0"/>
          <w:color w:val="000000"/>
          <w:sz w:val="22"/>
          <w:szCs w:val="22"/>
          <w:lang w:eastAsia="ja-JP"/>
        </w:rPr>
        <w:t xml:space="preserve"> 17, 2012</w:t>
      </w:r>
      <w:r w:rsidRPr="00A95D65">
        <w:rPr>
          <w:rFonts w:ascii="Times New Roman" w:eastAsia="MS Mincho" w:hAnsi="Times New Roman"/>
          <w:b w:val="0"/>
          <w:color w:val="000000"/>
          <w:sz w:val="22"/>
          <w:szCs w:val="22"/>
          <w:lang w:eastAsia="ja-JP"/>
        </w:rPr>
        <w:t xml:space="preserve"> </w:t>
      </w:r>
    </w:p>
    <w:p w:rsidR="006D1FE7" w:rsidRPr="00884246" w:rsidRDefault="006D1FE7" w:rsidP="006D1FE7">
      <w:pPr>
        <w:pStyle w:val="FootnoteText"/>
        <w:spacing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7E15F5"/>
    <w:multiLevelType w:val="hybridMultilevel"/>
    <w:tmpl w:val="9FA4EB5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4E70C6A"/>
    <w:multiLevelType w:val="hybridMultilevel"/>
    <w:tmpl w:val="D6AE48B2"/>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9">
      <w:start w:val="1"/>
      <w:numFmt w:val="lowerLetter"/>
      <w:lvlText w:val="%3."/>
      <w:lvlJc w:val="lef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791293E"/>
    <w:multiLevelType w:val="hybridMultilevel"/>
    <w:tmpl w:val="1E0AD80A"/>
    <w:lvl w:ilvl="0" w:tplc="04090019">
      <w:start w:val="1"/>
      <w:numFmt w:val="lowerLetter"/>
      <w:lvlText w:val="%1."/>
      <w:lvlJc w:val="left"/>
      <w:pPr>
        <w:ind w:left="720" w:hanging="360"/>
      </w:pPr>
    </w:lvl>
    <w:lvl w:ilvl="1" w:tplc="8D627542">
      <w:start w:val="1"/>
      <w:numFmt w:val="decimal"/>
      <w:lvlText w:val="%2."/>
      <w:lvlJc w:val="left"/>
      <w:pPr>
        <w:ind w:left="1440" w:hanging="360"/>
      </w:pPr>
      <w:rPr>
        <w:rFonts w:hint="default"/>
      </w:rPr>
    </w:lvl>
    <w:lvl w:ilvl="2" w:tplc="04090019">
      <w:start w:val="1"/>
      <w:numFmt w:val="lowerLetter"/>
      <w:lvlText w:val="%3."/>
      <w:lvlJc w:val="lef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CC37A70"/>
    <w:multiLevelType w:val="hybridMultilevel"/>
    <w:tmpl w:val="D63EA1F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E7C7E09"/>
    <w:multiLevelType w:val="hybridMultilevel"/>
    <w:tmpl w:val="A12A7A66"/>
    <w:lvl w:ilvl="0" w:tplc="ABF6A10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339A5EF1"/>
    <w:multiLevelType w:val="hybridMultilevel"/>
    <w:tmpl w:val="1DBC330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3E876DB"/>
    <w:multiLevelType w:val="hybridMultilevel"/>
    <w:tmpl w:val="EDA6923E"/>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35BE7577"/>
    <w:multiLevelType w:val="hybridMultilevel"/>
    <w:tmpl w:val="5EF4267E"/>
    <w:lvl w:ilvl="0" w:tplc="04090019">
      <w:start w:val="1"/>
      <w:numFmt w:val="lowerLetter"/>
      <w:lvlText w:val="%1."/>
      <w:lvlJc w:val="left"/>
      <w:pPr>
        <w:ind w:left="720" w:hanging="360"/>
      </w:pPr>
    </w:lvl>
    <w:lvl w:ilvl="1" w:tplc="FEBE717A">
      <w:start w:val="1"/>
      <w:numFmt w:val="decimal"/>
      <w:lvlText w:val="%2."/>
      <w:lvlJc w:val="left"/>
      <w:pPr>
        <w:ind w:left="1560" w:hanging="48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388F7583"/>
    <w:multiLevelType w:val="singleLevel"/>
    <w:tmpl w:val="E9AAE31E"/>
    <w:lvl w:ilvl="0">
      <w:start w:val="1"/>
      <w:numFmt w:val="decimal"/>
      <w:pStyle w:val="Heading4"/>
      <w:lvlText w:val="4.%1."/>
      <w:lvlJc w:val="left"/>
      <w:pPr>
        <w:tabs>
          <w:tab w:val="num" w:pos="360"/>
        </w:tabs>
        <w:ind w:left="180" w:hanging="180"/>
      </w:pPr>
      <w:rPr>
        <w:rFonts w:hint="eastAsia"/>
      </w:rPr>
    </w:lvl>
  </w:abstractNum>
  <w:abstractNum w:abstractNumId="9" w15:restartNumberingAfterBreak="0">
    <w:nsid w:val="40CF1113"/>
    <w:multiLevelType w:val="hybridMultilevel"/>
    <w:tmpl w:val="78863F28"/>
    <w:lvl w:ilvl="0" w:tplc="0409000F">
      <w:start w:val="1"/>
      <w:numFmt w:val="decimal"/>
      <w:lvlText w:val="%1."/>
      <w:lvlJc w:val="left"/>
      <w:pPr>
        <w:ind w:left="720" w:hanging="360"/>
      </w:pPr>
    </w:lvl>
    <w:lvl w:ilvl="1" w:tplc="0409000F">
      <w:start w:val="1"/>
      <w:numFmt w:val="decimal"/>
      <w:lvlText w:val="%2."/>
      <w:lvlJc w:val="left"/>
      <w:pPr>
        <w:ind w:left="1440" w:hanging="360"/>
      </w:pPr>
    </w:lvl>
    <w:lvl w:ilvl="2" w:tplc="67C8C15A">
      <w:start w:val="1"/>
      <w:numFmt w:val="lowerLetter"/>
      <w:lvlText w:val="%3."/>
      <w:lvlJc w:val="left"/>
      <w:pPr>
        <w:ind w:left="2460" w:hanging="48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419B23E0"/>
    <w:multiLevelType w:val="hybridMultilevel"/>
    <w:tmpl w:val="EE723E9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4C454435"/>
    <w:multiLevelType w:val="hybridMultilevel"/>
    <w:tmpl w:val="BC0E1B2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550B530B"/>
    <w:multiLevelType w:val="hybridMultilevel"/>
    <w:tmpl w:val="14706C4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57E9602E"/>
    <w:multiLevelType w:val="hybridMultilevel"/>
    <w:tmpl w:val="41DACF3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9">
      <w:start w:val="1"/>
      <w:numFmt w:val="lowerLetter"/>
      <w:lvlText w:val="%3."/>
      <w:lvlJc w:val="lef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5C9A40DA"/>
    <w:multiLevelType w:val="hybridMultilevel"/>
    <w:tmpl w:val="7F1A67E6"/>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5D171124"/>
    <w:multiLevelType w:val="singleLevel"/>
    <w:tmpl w:val="7F962684"/>
    <w:lvl w:ilvl="0">
      <w:start w:val="1"/>
      <w:numFmt w:val="decimal"/>
      <w:pStyle w:val="Heading2"/>
      <w:lvlText w:val="2.%1."/>
      <w:lvlJc w:val="left"/>
      <w:pPr>
        <w:tabs>
          <w:tab w:val="num" w:pos="360"/>
        </w:tabs>
        <w:ind w:left="180" w:hanging="180"/>
      </w:pPr>
      <w:rPr>
        <w:rFonts w:ascii="Times New Roman" w:hAnsi="Times New Roman" w:hint="default"/>
        <w:b/>
        <w:i w:val="0"/>
        <w:sz w:val="24"/>
      </w:rPr>
    </w:lvl>
  </w:abstractNum>
  <w:abstractNum w:abstractNumId="16" w15:restartNumberingAfterBreak="0">
    <w:nsid w:val="62272DCD"/>
    <w:multiLevelType w:val="hybridMultilevel"/>
    <w:tmpl w:val="DDFCB6A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68CA4DD6"/>
    <w:multiLevelType w:val="hybridMultilevel"/>
    <w:tmpl w:val="95289334"/>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9">
      <w:start w:val="1"/>
      <w:numFmt w:val="lowerLetter"/>
      <w:lvlText w:val="%3."/>
      <w:lvlJc w:val="lef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6AD4129B"/>
    <w:multiLevelType w:val="hybridMultilevel"/>
    <w:tmpl w:val="EF4CED60"/>
    <w:lvl w:ilvl="0" w:tplc="0409000F">
      <w:start w:val="1"/>
      <w:numFmt w:val="decimal"/>
      <w:lvlText w:val="%1."/>
      <w:lvlJc w:val="left"/>
      <w:pPr>
        <w:ind w:left="720" w:hanging="360"/>
      </w:pPr>
    </w:lvl>
    <w:lvl w:ilvl="1" w:tplc="0409000F">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702E674C"/>
    <w:multiLevelType w:val="hybridMultilevel"/>
    <w:tmpl w:val="17F46C0A"/>
    <w:lvl w:ilvl="0" w:tplc="04090019">
      <w:start w:val="1"/>
      <w:numFmt w:val="lowerLetter"/>
      <w:lvlText w:val="%1."/>
      <w:lvlJc w:val="left"/>
      <w:pPr>
        <w:ind w:left="2340" w:hanging="360"/>
      </w:pPr>
    </w:lvl>
    <w:lvl w:ilvl="1" w:tplc="04090019" w:tentative="1">
      <w:start w:val="1"/>
      <w:numFmt w:val="lowerLetter"/>
      <w:lvlText w:val="%2."/>
      <w:lvlJc w:val="left"/>
      <w:pPr>
        <w:ind w:left="3060" w:hanging="360"/>
      </w:pPr>
    </w:lvl>
    <w:lvl w:ilvl="2" w:tplc="0409001B" w:tentative="1">
      <w:start w:val="1"/>
      <w:numFmt w:val="lowerRoman"/>
      <w:lvlText w:val="%3."/>
      <w:lvlJc w:val="right"/>
      <w:pPr>
        <w:ind w:left="3780" w:hanging="180"/>
      </w:pPr>
    </w:lvl>
    <w:lvl w:ilvl="3" w:tplc="0409000F" w:tentative="1">
      <w:start w:val="1"/>
      <w:numFmt w:val="decimal"/>
      <w:lvlText w:val="%4."/>
      <w:lvlJc w:val="left"/>
      <w:pPr>
        <w:ind w:left="4500" w:hanging="360"/>
      </w:pPr>
    </w:lvl>
    <w:lvl w:ilvl="4" w:tplc="04090019" w:tentative="1">
      <w:start w:val="1"/>
      <w:numFmt w:val="lowerLetter"/>
      <w:lvlText w:val="%5."/>
      <w:lvlJc w:val="left"/>
      <w:pPr>
        <w:ind w:left="5220" w:hanging="360"/>
      </w:pPr>
    </w:lvl>
    <w:lvl w:ilvl="5" w:tplc="0409001B" w:tentative="1">
      <w:start w:val="1"/>
      <w:numFmt w:val="lowerRoman"/>
      <w:lvlText w:val="%6."/>
      <w:lvlJc w:val="right"/>
      <w:pPr>
        <w:ind w:left="5940" w:hanging="180"/>
      </w:pPr>
    </w:lvl>
    <w:lvl w:ilvl="6" w:tplc="0409000F" w:tentative="1">
      <w:start w:val="1"/>
      <w:numFmt w:val="decimal"/>
      <w:lvlText w:val="%7."/>
      <w:lvlJc w:val="left"/>
      <w:pPr>
        <w:ind w:left="6660" w:hanging="360"/>
      </w:pPr>
    </w:lvl>
    <w:lvl w:ilvl="7" w:tplc="04090019" w:tentative="1">
      <w:start w:val="1"/>
      <w:numFmt w:val="lowerLetter"/>
      <w:lvlText w:val="%8."/>
      <w:lvlJc w:val="left"/>
      <w:pPr>
        <w:ind w:left="7380" w:hanging="360"/>
      </w:pPr>
    </w:lvl>
    <w:lvl w:ilvl="8" w:tplc="0409001B" w:tentative="1">
      <w:start w:val="1"/>
      <w:numFmt w:val="lowerRoman"/>
      <w:lvlText w:val="%9."/>
      <w:lvlJc w:val="right"/>
      <w:pPr>
        <w:ind w:left="8100" w:hanging="180"/>
      </w:pPr>
    </w:lvl>
  </w:abstractNum>
  <w:abstractNum w:abstractNumId="20" w15:restartNumberingAfterBreak="0">
    <w:nsid w:val="75A634F7"/>
    <w:multiLevelType w:val="hybridMultilevel"/>
    <w:tmpl w:val="699C112A"/>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76AA168E"/>
    <w:multiLevelType w:val="hybridMultilevel"/>
    <w:tmpl w:val="FFB0BF56"/>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78982C9B"/>
    <w:multiLevelType w:val="hybridMultilevel"/>
    <w:tmpl w:val="7E3AE88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5"/>
  </w:num>
  <w:num w:numId="2">
    <w:abstractNumId w:val="8"/>
  </w:num>
  <w:num w:numId="3">
    <w:abstractNumId w:val="0"/>
  </w:num>
  <w:num w:numId="4">
    <w:abstractNumId w:val="22"/>
  </w:num>
  <w:num w:numId="5">
    <w:abstractNumId w:val="6"/>
  </w:num>
  <w:num w:numId="6">
    <w:abstractNumId w:val="10"/>
  </w:num>
  <w:num w:numId="7">
    <w:abstractNumId w:val="4"/>
  </w:num>
  <w:num w:numId="8">
    <w:abstractNumId w:val="7"/>
  </w:num>
  <w:num w:numId="9">
    <w:abstractNumId w:val="20"/>
  </w:num>
  <w:num w:numId="10">
    <w:abstractNumId w:val="14"/>
  </w:num>
  <w:num w:numId="11">
    <w:abstractNumId w:val="21"/>
  </w:num>
  <w:num w:numId="12">
    <w:abstractNumId w:val="5"/>
  </w:num>
  <w:num w:numId="13">
    <w:abstractNumId w:val="9"/>
  </w:num>
  <w:num w:numId="14">
    <w:abstractNumId w:val="11"/>
  </w:num>
  <w:num w:numId="15">
    <w:abstractNumId w:val="12"/>
  </w:num>
  <w:num w:numId="16">
    <w:abstractNumId w:val="17"/>
  </w:num>
  <w:num w:numId="17">
    <w:abstractNumId w:val="19"/>
  </w:num>
  <w:num w:numId="18">
    <w:abstractNumId w:val="3"/>
  </w:num>
  <w:num w:numId="19">
    <w:abstractNumId w:val="1"/>
  </w:num>
  <w:num w:numId="20">
    <w:abstractNumId w:val="2"/>
  </w:num>
  <w:num w:numId="21">
    <w:abstractNumId w:val="13"/>
  </w:num>
  <w:num w:numId="22">
    <w:abstractNumId w:val="18"/>
  </w:num>
  <w:num w:numId="23">
    <w:abstractNumId w:val="16"/>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mirrorMargins/>
  <w:bordersDoNotSurroundHeader/>
  <w:bordersDoNotSurroundFooter/>
  <w:activeWritingStyle w:appName="MSWord" w:lang="en-US" w:vendorID="8" w:dllVersion="513" w:checkStyle="1"/>
  <w:activeWritingStyle w:appName="MSWord" w:lang="sv-SE" w:vendorID="22" w:dllVersion="513" w:checkStyle="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82"/>
  <w:hyphenationZone w:val="425"/>
  <w:evenAndOddHeaders/>
  <w:displayHorizontalDrawingGridEvery w:val="0"/>
  <w:displayVerticalDrawingGridEvery w:val="2"/>
  <w:characterSpacingControl w:val="compressPunctuation"/>
  <w:noLineBreaksAfter w:lang="zh-TW" w:val="([{‘“‵〈《「『【〔〝︵︷︹︻︽︿﹁﹃﹙﹛﹝（｛"/>
  <w:noLineBreaksBefore w:lang="zh-TW" w:val="!),.:;?]}·–—’”‥…‧′╴、。〉》」』】〕〞︰︱︳︴︶︸︺︼︾﹀﹂﹄﹏﹐﹑﹒﹔﹕﹖﹗﹚﹜﹞！），．：；？｜｝"/>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71586"/>
    <w:rsid w:val="0000260F"/>
    <w:rsid w:val="00003779"/>
    <w:rsid w:val="000211D7"/>
    <w:rsid w:val="00027386"/>
    <w:rsid w:val="00034661"/>
    <w:rsid w:val="000375F9"/>
    <w:rsid w:val="00043D28"/>
    <w:rsid w:val="00047F33"/>
    <w:rsid w:val="00050501"/>
    <w:rsid w:val="000574E9"/>
    <w:rsid w:val="00057529"/>
    <w:rsid w:val="00082661"/>
    <w:rsid w:val="00085C4B"/>
    <w:rsid w:val="00096CFE"/>
    <w:rsid w:val="000D6311"/>
    <w:rsid w:val="000D69F4"/>
    <w:rsid w:val="000E4787"/>
    <w:rsid w:val="00115B00"/>
    <w:rsid w:val="00125EF9"/>
    <w:rsid w:val="0012626B"/>
    <w:rsid w:val="00142099"/>
    <w:rsid w:val="001610A0"/>
    <w:rsid w:val="001637F6"/>
    <w:rsid w:val="00163BAF"/>
    <w:rsid w:val="001764A1"/>
    <w:rsid w:val="001802FA"/>
    <w:rsid w:val="00187367"/>
    <w:rsid w:val="00194524"/>
    <w:rsid w:val="001C4A58"/>
    <w:rsid w:val="001C5496"/>
    <w:rsid w:val="001C790A"/>
    <w:rsid w:val="001D3013"/>
    <w:rsid w:val="002070F7"/>
    <w:rsid w:val="0022716C"/>
    <w:rsid w:val="00233785"/>
    <w:rsid w:val="00234A12"/>
    <w:rsid w:val="00240B14"/>
    <w:rsid w:val="002410BB"/>
    <w:rsid w:val="00245CBF"/>
    <w:rsid w:val="00260962"/>
    <w:rsid w:val="002918EF"/>
    <w:rsid w:val="00293508"/>
    <w:rsid w:val="002A2FFF"/>
    <w:rsid w:val="002B7220"/>
    <w:rsid w:val="002D51F4"/>
    <w:rsid w:val="002E218C"/>
    <w:rsid w:val="002E3749"/>
    <w:rsid w:val="00303353"/>
    <w:rsid w:val="003150B9"/>
    <w:rsid w:val="00315261"/>
    <w:rsid w:val="00322DA7"/>
    <w:rsid w:val="00323538"/>
    <w:rsid w:val="003265C9"/>
    <w:rsid w:val="003316A0"/>
    <w:rsid w:val="00347F24"/>
    <w:rsid w:val="003760E0"/>
    <w:rsid w:val="00385B14"/>
    <w:rsid w:val="00386699"/>
    <w:rsid w:val="00395B5C"/>
    <w:rsid w:val="003967BA"/>
    <w:rsid w:val="003A3D8F"/>
    <w:rsid w:val="003B5CF2"/>
    <w:rsid w:val="003B7F68"/>
    <w:rsid w:val="003C03F8"/>
    <w:rsid w:val="003D159D"/>
    <w:rsid w:val="003D24DA"/>
    <w:rsid w:val="003D3BD5"/>
    <w:rsid w:val="003E4804"/>
    <w:rsid w:val="003E59D5"/>
    <w:rsid w:val="003E6242"/>
    <w:rsid w:val="003F69DB"/>
    <w:rsid w:val="0040086D"/>
    <w:rsid w:val="00411AF5"/>
    <w:rsid w:val="00412D8C"/>
    <w:rsid w:val="00425D81"/>
    <w:rsid w:val="00442CD4"/>
    <w:rsid w:val="004519AE"/>
    <w:rsid w:val="004634C6"/>
    <w:rsid w:val="00463B9F"/>
    <w:rsid w:val="00464890"/>
    <w:rsid w:val="00472F86"/>
    <w:rsid w:val="004A218D"/>
    <w:rsid w:val="004B4809"/>
    <w:rsid w:val="004C3AF5"/>
    <w:rsid w:val="004F50AA"/>
    <w:rsid w:val="004F5CF6"/>
    <w:rsid w:val="00501EA3"/>
    <w:rsid w:val="005141B4"/>
    <w:rsid w:val="00524C20"/>
    <w:rsid w:val="005315CA"/>
    <w:rsid w:val="00546976"/>
    <w:rsid w:val="00552F60"/>
    <w:rsid w:val="0056424E"/>
    <w:rsid w:val="00566F4C"/>
    <w:rsid w:val="0057377A"/>
    <w:rsid w:val="0057505E"/>
    <w:rsid w:val="005E70DE"/>
    <w:rsid w:val="005F5EDB"/>
    <w:rsid w:val="006145A5"/>
    <w:rsid w:val="00641F7D"/>
    <w:rsid w:val="006516A2"/>
    <w:rsid w:val="00666AC9"/>
    <w:rsid w:val="00671586"/>
    <w:rsid w:val="00680B18"/>
    <w:rsid w:val="006A4676"/>
    <w:rsid w:val="006B282B"/>
    <w:rsid w:val="006C55B9"/>
    <w:rsid w:val="006D1FE7"/>
    <w:rsid w:val="006E2950"/>
    <w:rsid w:val="006F2DE1"/>
    <w:rsid w:val="006F57E2"/>
    <w:rsid w:val="006F7DF9"/>
    <w:rsid w:val="007024DA"/>
    <w:rsid w:val="00735E85"/>
    <w:rsid w:val="00745359"/>
    <w:rsid w:val="00760741"/>
    <w:rsid w:val="0076600D"/>
    <w:rsid w:val="0077016D"/>
    <w:rsid w:val="00771AAB"/>
    <w:rsid w:val="00772216"/>
    <w:rsid w:val="007806F9"/>
    <w:rsid w:val="00796344"/>
    <w:rsid w:val="007A1A84"/>
    <w:rsid w:val="007A6323"/>
    <w:rsid w:val="007B0F20"/>
    <w:rsid w:val="007C434A"/>
    <w:rsid w:val="007C7EFE"/>
    <w:rsid w:val="007D04E5"/>
    <w:rsid w:val="007E3666"/>
    <w:rsid w:val="0080308E"/>
    <w:rsid w:val="0082001D"/>
    <w:rsid w:val="00827E9C"/>
    <w:rsid w:val="008301FA"/>
    <w:rsid w:val="00884246"/>
    <w:rsid w:val="008A368E"/>
    <w:rsid w:val="008A3B73"/>
    <w:rsid w:val="008C661C"/>
    <w:rsid w:val="008D0267"/>
    <w:rsid w:val="008D34F7"/>
    <w:rsid w:val="008F2A34"/>
    <w:rsid w:val="00921AA9"/>
    <w:rsid w:val="00924E0E"/>
    <w:rsid w:val="00924EA4"/>
    <w:rsid w:val="009352D1"/>
    <w:rsid w:val="009474C8"/>
    <w:rsid w:val="0097169F"/>
    <w:rsid w:val="00986DD1"/>
    <w:rsid w:val="009A1C0D"/>
    <w:rsid w:val="009A6DA1"/>
    <w:rsid w:val="009D0F08"/>
    <w:rsid w:val="009D443D"/>
    <w:rsid w:val="009D5784"/>
    <w:rsid w:val="009E26E7"/>
    <w:rsid w:val="009F30B1"/>
    <w:rsid w:val="00A13A99"/>
    <w:rsid w:val="00A1558C"/>
    <w:rsid w:val="00A31F3C"/>
    <w:rsid w:val="00A46382"/>
    <w:rsid w:val="00A602B4"/>
    <w:rsid w:val="00A805EA"/>
    <w:rsid w:val="00A95D65"/>
    <w:rsid w:val="00AA3116"/>
    <w:rsid w:val="00AA77DB"/>
    <w:rsid w:val="00B0447B"/>
    <w:rsid w:val="00B57183"/>
    <w:rsid w:val="00B678C0"/>
    <w:rsid w:val="00B85B16"/>
    <w:rsid w:val="00BB1528"/>
    <w:rsid w:val="00BB7B04"/>
    <w:rsid w:val="00BD2845"/>
    <w:rsid w:val="00BF26BE"/>
    <w:rsid w:val="00C04B22"/>
    <w:rsid w:val="00C1038F"/>
    <w:rsid w:val="00C15108"/>
    <w:rsid w:val="00C15591"/>
    <w:rsid w:val="00C166D6"/>
    <w:rsid w:val="00C22792"/>
    <w:rsid w:val="00C2481A"/>
    <w:rsid w:val="00C432A1"/>
    <w:rsid w:val="00C6565A"/>
    <w:rsid w:val="00C67EAF"/>
    <w:rsid w:val="00C735A2"/>
    <w:rsid w:val="00C74096"/>
    <w:rsid w:val="00C75C29"/>
    <w:rsid w:val="00C86FE2"/>
    <w:rsid w:val="00C87B87"/>
    <w:rsid w:val="00C9080C"/>
    <w:rsid w:val="00C908C4"/>
    <w:rsid w:val="00CC34B5"/>
    <w:rsid w:val="00CC5CB2"/>
    <w:rsid w:val="00CD7E04"/>
    <w:rsid w:val="00CE1D49"/>
    <w:rsid w:val="00CE6B5B"/>
    <w:rsid w:val="00CF30A9"/>
    <w:rsid w:val="00CF44C9"/>
    <w:rsid w:val="00CF475B"/>
    <w:rsid w:val="00D4065A"/>
    <w:rsid w:val="00D4335C"/>
    <w:rsid w:val="00D4528E"/>
    <w:rsid w:val="00D51D46"/>
    <w:rsid w:val="00D6487E"/>
    <w:rsid w:val="00D77085"/>
    <w:rsid w:val="00D85C80"/>
    <w:rsid w:val="00D9428D"/>
    <w:rsid w:val="00DA5606"/>
    <w:rsid w:val="00DC034A"/>
    <w:rsid w:val="00DC3754"/>
    <w:rsid w:val="00DD10C7"/>
    <w:rsid w:val="00DE6A46"/>
    <w:rsid w:val="00DF0BFD"/>
    <w:rsid w:val="00E16014"/>
    <w:rsid w:val="00E25B8E"/>
    <w:rsid w:val="00E32420"/>
    <w:rsid w:val="00E3614B"/>
    <w:rsid w:val="00E36F2A"/>
    <w:rsid w:val="00E47716"/>
    <w:rsid w:val="00E6476F"/>
    <w:rsid w:val="00E74776"/>
    <w:rsid w:val="00E80D5F"/>
    <w:rsid w:val="00E863AE"/>
    <w:rsid w:val="00E87401"/>
    <w:rsid w:val="00EB5E6E"/>
    <w:rsid w:val="00EC152C"/>
    <w:rsid w:val="00EE27AB"/>
    <w:rsid w:val="00EF5A57"/>
    <w:rsid w:val="00F0154E"/>
    <w:rsid w:val="00F0206E"/>
    <w:rsid w:val="00F03418"/>
    <w:rsid w:val="00F05772"/>
    <w:rsid w:val="00F07086"/>
    <w:rsid w:val="00F162D0"/>
    <w:rsid w:val="00F353E6"/>
    <w:rsid w:val="00F4037A"/>
    <w:rsid w:val="00F43E70"/>
    <w:rsid w:val="00F471EC"/>
    <w:rsid w:val="00F51FC1"/>
    <w:rsid w:val="00F52343"/>
    <w:rsid w:val="00F537F4"/>
    <w:rsid w:val="00F60245"/>
    <w:rsid w:val="00F84DB0"/>
    <w:rsid w:val="00F97F14"/>
    <w:rsid w:val="00FA6DE5"/>
    <w:rsid w:val="00FB4624"/>
    <w:rsid w:val="00FF2570"/>
  </w:rsids>
  <m:mathPr>
    <m:mathFont m:val="Cambria Math"/>
    <m:brkBin m:val="before"/>
    <m:brkBinSub m:val="--"/>
    <m:smallFrac m:val="0"/>
    <m:dispDef/>
    <m:lMargin m:val="0"/>
    <m:rMargin m:val="0"/>
    <m:defJc m:val="centerGroup"/>
    <m:wrapIndent m:val="1440"/>
    <m:intLim m:val="subSup"/>
    <m:naryLim m:val="undOvr"/>
  </m:mathPr>
  <w:themeFontLang w:val="el-GR"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docId w15:val="{026A1F9F-AD58-41F6-A507-B6335F06F1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PMingLiU" w:hAnsi="Times New Roman" w:cs="Times New Roman"/>
        <w:lang w:val="el-GR" w:eastAsia="el-GR"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F50AA"/>
    <w:pPr>
      <w:widowControl w:val="0"/>
      <w:adjustRightInd w:val="0"/>
      <w:spacing w:line="480" w:lineRule="auto"/>
      <w:jc w:val="both"/>
      <w:textAlignment w:val="baseline"/>
    </w:pPr>
    <w:rPr>
      <w:sz w:val="24"/>
      <w:lang w:val="en-US" w:eastAsia="zh-TW"/>
    </w:rPr>
  </w:style>
  <w:style w:type="paragraph" w:styleId="Heading1">
    <w:name w:val="heading 1"/>
    <w:basedOn w:val="Normal"/>
    <w:next w:val="Normal"/>
    <w:autoRedefine/>
    <w:qFormat/>
    <w:rsid w:val="00F03418"/>
    <w:pPr>
      <w:keepNext/>
      <w:tabs>
        <w:tab w:val="left" w:pos="360"/>
      </w:tabs>
      <w:spacing w:line="240" w:lineRule="auto"/>
      <w:ind w:right="45"/>
      <w:outlineLvl w:val="0"/>
    </w:pPr>
    <w:rPr>
      <w:bCs/>
      <w:color w:val="000000"/>
      <w:szCs w:val="24"/>
    </w:rPr>
  </w:style>
  <w:style w:type="paragraph" w:styleId="Heading2">
    <w:name w:val="heading 2"/>
    <w:basedOn w:val="Normal"/>
    <w:next w:val="Normal"/>
    <w:qFormat/>
    <w:rsid w:val="004F50AA"/>
    <w:pPr>
      <w:numPr>
        <w:numId w:val="1"/>
      </w:numPr>
      <w:tabs>
        <w:tab w:val="clear" w:pos="360"/>
        <w:tab w:val="left" w:pos="454"/>
      </w:tabs>
      <w:jc w:val="left"/>
      <w:outlineLvl w:val="1"/>
    </w:pPr>
    <w:rPr>
      <w:rFonts w:eastAsia="MingLiU"/>
      <w:b/>
    </w:rPr>
  </w:style>
  <w:style w:type="paragraph" w:styleId="Heading3">
    <w:name w:val="heading 3"/>
    <w:basedOn w:val="Normal"/>
    <w:next w:val="NormalIndent"/>
    <w:qFormat/>
    <w:rsid w:val="004F50AA"/>
    <w:pPr>
      <w:keepNext/>
      <w:outlineLvl w:val="2"/>
    </w:pPr>
    <w:rPr>
      <w:b/>
    </w:rPr>
  </w:style>
  <w:style w:type="paragraph" w:styleId="Heading4">
    <w:name w:val="heading 4"/>
    <w:basedOn w:val="Normal"/>
    <w:next w:val="NormalIndent"/>
    <w:qFormat/>
    <w:rsid w:val="004F50AA"/>
    <w:pPr>
      <w:numPr>
        <w:numId w:val="2"/>
      </w:numPr>
      <w:ind w:left="397" w:hanging="397"/>
      <w:jc w:val="left"/>
      <w:outlineLvl w:val="3"/>
    </w:pPr>
    <w:rPr>
      <w:rFonts w:eastAsia="MingLiU"/>
      <w:b/>
    </w:rPr>
  </w:style>
  <w:style w:type="paragraph" w:styleId="Heading5">
    <w:name w:val="heading 5"/>
    <w:basedOn w:val="Normal"/>
    <w:next w:val="NormalIndent"/>
    <w:qFormat/>
    <w:rsid w:val="004F50AA"/>
    <w:pPr>
      <w:keepNext/>
      <w:widowControl/>
      <w:autoSpaceDE w:val="0"/>
      <w:autoSpaceDN w:val="0"/>
      <w:jc w:val="center"/>
      <w:textAlignment w:val="bottom"/>
      <w:outlineLvl w:val="4"/>
    </w:pPr>
    <w:rPr>
      <w:b/>
    </w:rPr>
  </w:style>
  <w:style w:type="paragraph" w:styleId="Heading6">
    <w:name w:val="heading 6"/>
    <w:basedOn w:val="Normal"/>
    <w:next w:val="NormalIndent"/>
    <w:qFormat/>
    <w:rsid w:val="004F50AA"/>
    <w:pPr>
      <w:keepNext/>
      <w:spacing w:before="120"/>
      <w:ind w:left="851" w:right="45"/>
      <w:jc w:val="center"/>
      <w:outlineLvl w:val="5"/>
    </w:pPr>
    <w:rPr>
      <w:b/>
    </w:rPr>
  </w:style>
  <w:style w:type="paragraph" w:styleId="Heading7">
    <w:name w:val="heading 7"/>
    <w:basedOn w:val="Normal"/>
    <w:next w:val="Normal"/>
    <w:qFormat/>
    <w:rsid w:val="004F50AA"/>
    <w:pPr>
      <w:keepNext/>
      <w:outlineLvl w:val="6"/>
    </w:pPr>
    <w:rPr>
      <w:b/>
      <w:color w:val="FF0000"/>
    </w:rPr>
  </w:style>
  <w:style w:type="paragraph" w:styleId="Heading8">
    <w:name w:val="heading 8"/>
    <w:basedOn w:val="Normal"/>
    <w:next w:val="Normal"/>
    <w:qFormat/>
    <w:rsid w:val="004F50AA"/>
    <w:pPr>
      <w:keepNext/>
      <w:ind w:firstLine="480"/>
      <w:jc w:val="center"/>
      <w:outlineLvl w:val="7"/>
    </w:pPr>
    <w:rPr>
      <w:i/>
      <w:iCs/>
    </w:rPr>
  </w:style>
  <w:style w:type="paragraph" w:styleId="Heading9">
    <w:name w:val="heading 9"/>
    <w:basedOn w:val="Normal"/>
    <w:next w:val="Normal"/>
    <w:qFormat/>
    <w:rsid w:val="004F50AA"/>
    <w:pPr>
      <w:keepNext/>
      <w:snapToGrid w:val="0"/>
      <w:spacing w:line="240" w:lineRule="auto"/>
      <w:jc w:val="center"/>
      <w:outlineLvl w:val="8"/>
    </w:pPr>
    <w:rPr>
      <w:i/>
      <w:color w:val="FF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Indent">
    <w:name w:val="Normal Indent"/>
    <w:basedOn w:val="Normal"/>
    <w:rsid w:val="004F50AA"/>
    <w:pPr>
      <w:spacing w:line="480" w:lineRule="atLeast"/>
      <w:ind w:left="475"/>
      <w:jc w:val="left"/>
    </w:pPr>
    <w:rPr>
      <w:rFonts w:ascii="MingLiU" w:eastAsia="MingLiU"/>
    </w:rPr>
  </w:style>
  <w:style w:type="paragraph" w:styleId="BodyTextIndent">
    <w:name w:val="Body Text Indent"/>
    <w:basedOn w:val="Normal"/>
    <w:rsid w:val="004F50AA"/>
    <w:pPr>
      <w:widowControl/>
      <w:autoSpaceDE w:val="0"/>
      <w:autoSpaceDN w:val="0"/>
      <w:ind w:firstLine="540"/>
      <w:textAlignment w:val="bottom"/>
    </w:pPr>
    <w:rPr>
      <w:rFonts w:eastAsia="MingLiU"/>
    </w:rPr>
  </w:style>
  <w:style w:type="paragraph" w:styleId="BodyTextIndent2">
    <w:name w:val="Body Text Indent 2"/>
    <w:basedOn w:val="Normal"/>
    <w:rsid w:val="004F50AA"/>
    <w:pPr>
      <w:widowControl/>
      <w:autoSpaceDE w:val="0"/>
      <w:autoSpaceDN w:val="0"/>
      <w:ind w:firstLine="540"/>
      <w:textAlignment w:val="bottom"/>
    </w:pPr>
    <w:rPr>
      <w:rFonts w:eastAsia="MingLiU"/>
      <w:color w:val="FF0000"/>
    </w:rPr>
  </w:style>
  <w:style w:type="paragraph" w:customStyle="1" w:styleId="Print-FromToSubjectDate">
    <w:name w:val="Print- From: To: Subject: Date:"/>
    <w:basedOn w:val="Normal"/>
    <w:rsid w:val="004F50AA"/>
    <w:pPr>
      <w:pBdr>
        <w:left w:val="single" w:sz="18" w:space="1" w:color="auto"/>
      </w:pBdr>
    </w:pPr>
  </w:style>
  <w:style w:type="paragraph" w:customStyle="1" w:styleId="Print-ReverseHeader">
    <w:name w:val="Print- Reverse Header"/>
    <w:basedOn w:val="Normal"/>
    <w:next w:val="Print-FromToSubjectDate"/>
    <w:rsid w:val="004F50AA"/>
    <w:pPr>
      <w:pBdr>
        <w:left w:val="single" w:sz="18" w:space="1" w:color="auto"/>
      </w:pBdr>
      <w:shd w:val="pct12" w:color="auto" w:fill="auto"/>
    </w:pPr>
    <w:rPr>
      <w:b/>
      <w:sz w:val="22"/>
    </w:rPr>
  </w:style>
  <w:style w:type="paragraph" w:customStyle="1" w:styleId="ReplyForwardHeaders">
    <w:name w:val="Reply/Forward Headers"/>
    <w:basedOn w:val="Normal"/>
    <w:next w:val="ReplyForwardToFromDate"/>
    <w:rsid w:val="004F50AA"/>
    <w:pPr>
      <w:pBdr>
        <w:left w:val="single" w:sz="18" w:space="1" w:color="auto"/>
      </w:pBdr>
      <w:shd w:val="pct10" w:color="auto" w:fill="auto"/>
    </w:pPr>
    <w:rPr>
      <w:b/>
      <w:noProof/>
    </w:rPr>
  </w:style>
  <w:style w:type="paragraph" w:customStyle="1" w:styleId="ReplyForwardToFromDate">
    <w:name w:val="Reply/Forward To: From: Date:"/>
    <w:basedOn w:val="Normal"/>
    <w:rsid w:val="004F50AA"/>
    <w:pPr>
      <w:pBdr>
        <w:left w:val="single" w:sz="18" w:space="1" w:color="auto"/>
      </w:pBdr>
    </w:pPr>
  </w:style>
  <w:style w:type="paragraph" w:styleId="Caption">
    <w:name w:val="caption"/>
    <w:basedOn w:val="Normal"/>
    <w:next w:val="Normal"/>
    <w:qFormat/>
    <w:rsid w:val="004F50AA"/>
    <w:pPr>
      <w:spacing w:before="120" w:after="120"/>
    </w:pPr>
  </w:style>
  <w:style w:type="paragraph" w:styleId="Footer">
    <w:name w:val="footer"/>
    <w:basedOn w:val="Normal"/>
    <w:rsid w:val="004F50AA"/>
    <w:pPr>
      <w:tabs>
        <w:tab w:val="center" w:pos="4153"/>
        <w:tab w:val="right" w:pos="8306"/>
      </w:tabs>
      <w:spacing w:line="480" w:lineRule="atLeast"/>
    </w:pPr>
    <w:rPr>
      <w:rFonts w:ascii="MingLiU" w:eastAsia="MingLiU"/>
      <w:sz w:val="20"/>
    </w:rPr>
  </w:style>
  <w:style w:type="character" w:styleId="PageNumber">
    <w:name w:val="page number"/>
    <w:basedOn w:val="DefaultParagraphFont"/>
    <w:rsid w:val="004F50AA"/>
  </w:style>
  <w:style w:type="paragraph" w:styleId="DocumentMap">
    <w:name w:val="Document Map"/>
    <w:basedOn w:val="Normal"/>
    <w:semiHidden/>
    <w:rsid w:val="004F50AA"/>
    <w:pPr>
      <w:shd w:val="clear" w:color="auto" w:fill="000080"/>
    </w:pPr>
    <w:rPr>
      <w:rFonts w:ascii="Arial" w:hAnsi="Arial"/>
    </w:rPr>
  </w:style>
  <w:style w:type="paragraph" w:styleId="BodyTextIndent3">
    <w:name w:val="Body Text Indent 3"/>
    <w:basedOn w:val="Normal"/>
    <w:rsid w:val="004F50AA"/>
    <w:pPr>
      <w:ind w:firstLine="426"/>
    </w:pPr>
  </w:style>
  <w:style w:type="paragraph" w:styleId="BodyText">
    <w:name w:val="Body Text"/>
    <w:basedOn w:val="Normal"/>
    <w:rsid w:val="004F50AA"/>
    <w:pPr>
      <w:widowControl/>
      <w:autoSpaceDE w:val="0"/>
      <w:autoSpaceDN w:val="0"/>
      <w:spacing w:line="300" w:lineRule="atLeast"/>
      <w:jc w:val="center"/>
      <w:textAlignment w:val="bottom"/>
    </w:pPr>
    <w:rPr>
      <w:rFonts w:ascii="Tms Rmn" w:hAnsi="Tms Rmn"/>
      <w:b/>
      <w:sz w:val="32"/>
    </w:rPr>
  </w:style>
  <w:style w:type="paragraph" w:styleId="BodyText2">
    <w:name w:val="Body Text 2"/>
    <w:basedOn w:val="Normal"/>
    <w:rsid w:val="004F50AA"/>
    <w:pPr>
      <w:spacing w:before="480" w:line="360" w:lineRule="atLeast"/>
      <w:jc w:val="left"/>
    </w:pPr>
    <w:rPr>
      <w:b/>
      <w:i/>
    </w:rPr>
  </w:style>
  <w:style w:type="paragraph" w:styleId="BodyText3">
    <w:name w:val="Body Text 3"/>
    <w:basedOn w:val="Normal"/>
    <w:rsid w:val="004F50AA"/>
    <w:pPr>
      <w:widowControl/>
      <w:autoSpaceDE w:val="0"/>
      <w:autoSpaceDN w:val="0"/>
      <w:ind w:rightChars="-64" w:right="-154"/>
      <w:textAlignment w:val="bottom"/>
    </w:pPr>
  </w:style>
  <w:style w:type="character" w:styleId="Hyperlink">
    <w:name w:val="Hyperlink"/>
    <w:basedOn w:val="DefaultParagraphFont"/>
    <w:rsid w:val="004F50AA"/>
    <w:rPr>
      <w:color w:val="0000FF"/>
      <w:u w:val="single"/>
    </w:rPr>
  </w:style>
  <w:style w:type="character" w:styleId="FollowedHyperlink">
    <w:name w:val="FollowedHyperlink"/>
    <w:basedOn w:val="DefaultParagraphFont"/>
    <w:rsid w:val="004F50AA"/>
    <w:rPr>
      <w:color w:val="800080"/>
      <w:u w:val="single"/>
    </w:rPr>
  </w:style>
  <w:style w:type="paragraph" w:styleId="FootnoteText">
    <w:name w:val="footnote text"/>
    <w:basedOn w:val="Normal"/>
    <w:semiHidden/>
    <w:rsid w:val="004F50AA"/>
    <w:pPr>
      <w:snapToGrid w:val="0"/>
      <w:jc w:val="left"/>
    </w:pPr>
    <w:rPr>
      <w:sz w:val="20"/>
    </w:rPr>
  </w:style>
  <w:style w:type="character" w:styleId="FootnoteReference">
    <w:name w:val="footnote reference"/>
    <w:basedOn w:val="DefaultParagraphFont"/>
    <w:semiHidden/>
    <w:rsid w:val="004F50AA"/>
    <w:rPr>
      <w:vertAlign w:val="superscript"/>
    </w:rPr>
  </w:style>
  <w:style w:type="paragraph" w:styleId="BlockText">
    <w:name w:val="Block Text"/>
    <w:basedOn w:val="Normal"/>
    <w:rsid w:val="004F50AA"/>
    <w:pPr>
      <w:ind w:left="312" w:right="28" w:hangingChars="130" w:hanging="312"/>
    </w:pPr>
    <w:rPr>
      <w:b/>
      <w:color w:val="003366"/>
    </w:rPr>
  </w:style>
  <w:style w:type="character" w:styleId="Strong">
    <w:name w:val="Strong"/>
    <w:basedOn w:val="DefaultParagraphFont"/>
    <w:qFormat/>
    <w:rsid w:val="004F50AA"/>
    <w:rPr>
      <w:b/>
      <w:bCs/>
    </w:rPr>
  </w:style>
  <w:style w:type="paragraph" w:styleId="Header">
    <w:name w:val="header"/>
    <w:basedOn w:val="Normal"/>
    <w:rsid w:val="004F50AA"/>
    <w:pPr>
      <w:tabs>
        <w:tab w:val="center" w:pos="4536"/>
        <w:tab w:val="right" w:pos="9072"/>
      </w:tabs>
    </w:pPr>
  </w:style>
  <w:style w:type="paragraph" w:styleId="ListParagraph">
    <w:name w:val="List Paragraph"/>
    <w:basedOn w:val="Normal"/>
    <w:uiPriority w:val="34"/>
    <w:qFormat/>
    <w:rsid w:val="003967BA"/>
    <w:pPr>
      <w:ind w:left="720"/>
      <w:contextualSpacing/>
    </w:pPr>
  </w:style>
  <w:style w:type="paragraph" w:styleId="BalloonText">
    <w:name w:val="Balloon Text"/>
    <w:basedOn w:val="Normal"/>
    <w:link w:val="BalloonTextChar"/>
    <w:rsid w:val="008A368E"/>
    <w:pPr>
      <w:spacing w:line="240" w:lineRule="auto"/>
    </w:pPr>
    <w:rPr>
      <w:rFonts w:ascii="Tahoma" w:hAnsi="Tahoma" w:cs="Tahoma"/>
      <w:sz w:val="16"/>
      <w:szCs w:val="16"/>
    </w:rPr>
  </w:style>
  <w:style w:type="character" w:customStyle="1" w:styleId="BalloonTextChar">
    <w:name w:val="Balloon Text Char"/>
    <w:basedOn w:val="DefaultParagraphFont"/>
    <w:link w:val="BalloonText"/>
    <w:rsid w:val="008A368E"/>
    <w:rPr>
      <w:rFonts w:ascii="Tahoma" w:hAnsi="Tahoma" w:cs="Tahoma"/>
      <w:sz w:val="16"/>
      <w:szCs w:val="16"/>
      <w:lang w:val="en-US" w:eastAsia="zh-TW"/>
    </w:rPr>
  </w:style>
  <w:style w:type="table" w:styleId="TableClassic1">
    <w:name w:val="Table Classic 1"/>
    <w:basedOn w:val="TableNormal"/>
    <w:rsid w:val="00234A12"/>
    <w:pPr>
      <w:widowControl w:val="0"/>
      <w:adjustRightInd w:val="0"/>
      <w:spacing w:line="480" w:lineRule="auto"/>
      <w:jc w:val="both"/>
      <w:textAlignment w:val="baseline"/>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Grid">
    <w:name w:val="Table Grid"/>
    <w:basedOn w:val="TableNormal"/>
    <w:uiPriority w:val="59"/>
    <w:rsid w:val="00C908C4"/>
    <w:rPr>
      <w:rFonts w:asciiTheme="minorHAnsi" w:eastAsiaTheme="minorHAnsi" w:hAnsiTheme="minorHAnsi" w:cstheme="minorBid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59"/>
    <w:rsid w:val="00EF5A57"/>
    <w:rPr>
      <w:rFonts w:ascii="Calibri" w:eastAsia="Calibri" w:hAnsi="Calibri" w:cs="Arial"/>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25629856">
      <w:bodyDiv w:val="1"/>
      <w:marLeft w:val="0"/>
      <w:marRight w:val="0"/>
      <w:marTop w:val="0"/>
      <w:marBottom w:val="0"/>
      <w:divBdr>
        <w:top w:val="none" w:sz="0" w:space="0" w:color="auto"/>
        <w:left w:val="none" w:sz="0" w:space="0" w:color="auto"/>
        <w:bottom w:val="none" w:sz="0" w:space="0" w:color="auto"/>
        <w:right w:val="none" w:sz="0" w:space="0" w:color="auto"/>
      </w:divBdr>
    </w:div>
    <w:div w:id="17787936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emf"/><Relationship Id="rId26" Type="http://schemas.openxmlformats.org/officeDocument/2006/relationships/image" Target="media/image19.jpeg"/><Relationship Id="rId39" Type="http://schemas.openxmlformats.org/officeDocument/2006/relationships/image" Target="media/image32.emf"/><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hyperlink" Target="https://www.nap.edu/catalog/12161/origin-and-evolution-of-earth-research-questions-for-a-changing" TargetMode="External"/><Relationship Id="rId50" Type="http://schemas.openxmlformats.org/officeDocument/2006/relationships/hyperlink" Target="https://www.ipcc.ch/publications_and_data/publications_ipcc_first_assessment_1990_wg1.shtml" TargetMode="External"/><Relationship Id="rId55" Type="http://schemas.openxmlformats.org/officeDocument/2006/relationships/hyperlink" Target="http://www.futurewater.eu/wp-content/uploads/2013/05/Terink_MENA_JOC.pdf" TargetMode="External"/><Relationship Id="rId63" Type="http://schemas.openxmlformats.org/officeDocument/2006/relationships/hyperlink" Target="https://www.diva-portal.org/smash/get/diva2:1068326/FULLTEXT01.pdf" TargetMode="External"/><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emf"/><Relationship Id="rId45" Type="http://schemas.openxmlformats.org/officeDocument/2006/relationships/image" Target="media/image38.emf"/><Relationship Id="rId53" Type="http://schemas.openxmlformats.org/officeDocument/2006/relationships/hyperlink" Target="https://www.diva-portal.org/smash/get/diva2:988358/FULLTEXT01.pdf" TargetMode="External"/><Relationship Id="rId58" Type="http://schemas.openxmlformats.org/officeDocument/2006/relationships/hyperlink" Target="http://www.hrljournal.org/archives/67" TargetMode="External"/><Relationship Id="rId66" Type="http://schemas.openxmlformats.org/officeDocument/2006/relationships/hyperlink" Target="http://www.diva-portal.org/smash/get/diva2:1040004/ATTACHMENT01.pdf" TargetMode="Externa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hyperlink" Target="http://www.wmo.int/pages/prog/wcp/ccl/faqs.php" TargetMode="External"/><Relationship Id="rId57" Type="http://schemas.openxmlformats.org/officeDocument/2006/relationships/hyperlink" Target="https://link.springer.com/article/10.1007/s10584-012-0418-4" TargetMode="External"/><Relationship Id="rId61" Type="http://schemas.openxmlformats.org/officeDocument/2006/relationships/hyperlink" Target="http://journals.ametsoc.org/doi/abs/10.1175/1520-0493%281984%29112%3C1999%3ATABTNA%3E2.0.CO%3B2" TargetMode="Externa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hyperlink" Target="https://www.ipcc.ch/pdf/special-reports/spm/sres-en.pdf" TargetMode="External"/><Relationship Id="rId60" Type="http://schemas.openxmlformats.org/officeDocument/2006/relationships/hyperlink" Target="https://www.rmets.org/sites/default/files/ww5.pdf" TargetMode="External"/><Relationship Id="rId65" Type="http://schemas.openxmlformats.org/officeDocument/2006/relationships/hyperlink" Target="https://www.diva-portal.org/smash/get/diva2:1033772/FULLTEXT01.pdf"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emf"/><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emf"/><Relationship Id="rId48" Type="http://schemas.openxmlformats.org/officeDocument/2006/relationships/hyperlink" Target="https://www.ipcc.ch/publications_and_data/publications_and_data_reports.shtml" TargetMode="External"/><Relationship Id="rId56" Type="http://schemas.openxmlformats.org/officeDocument/2006/relationships/hyperlink" Target="http://onlinelibrary.wiley.com/doi/10.1029/2010WR010269/full" TargetMode="External"/><Relationship Id="rId64" Type="http://schemas.openxmlformats.org/officeDocument/2006/relationships/hyperlink" Target="http://file.scirp.org/pdf/ENG_2016102711410207.pdf" TargetMode="External"/><Relationship Id="rId69"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hyperlink" Target="http://muller.lbl.gov/teaching/Physics10/PffP.html" TargetMode="Externa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emf"/><Relationship Id="rId59" Type="http://schemas.openxmlformats.org/officeDocument/2006/relationships/hyperlink" Target="http://www.adv-geosci.net/12/145/2007/adgeo-12-145-2007.pdf" TargetMode="External"/><Relationship Id="rId67" Type="http://schemas.openxmlformats.org/officeDocument/2006/relationships/hyperlink" Target="http://file.scirp.org/pdf/NS_2013101014315787.pdf" TargetMode="External"/><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hyperlink" Target="http://pdf.wri.org/wrr05_dt_all.pdf" TargetMode="External"/><Relationship Id="rId62" Type="http://schemas.openxmlformats.org/officeDocument/2006/relationships/hyperlink" Target="http://onlinelibrary.wiley.com/doi/10.1029/2000JD900568/pdf"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mailto:f.khajeek@ukh.edu.krd" TargetMode="External"/><Relationship Id="rId2" Type="http://schemas.openxmlformats.org/officeDocument/2006/relationships/hyperlink" Target="mailto:nadhir.alansari@ltu.se" TargetMode="External"/><Relationship Id="rId1" Type="http://schemas.openxmlformats.org/officeDocument/2006/relationships/hyperlink" Target="mailto:nasrat.adamo@gmail.com" TargetMode="External"/><Relationship Id="rId4" Type="http://schemas.openxmlformats.org/officeDocument/2006/relationships/hyperlink" Target="mailto:varoujan49@yahoo.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Nmerical.XSL" StyleName="ISO 690 - Numerical Reference"/>
</file>

<file path=customXml/itemProps1.xml><?xml version="1.0" encoding="utf-8"?>
<ds:datastoreItem xmlns:ds="http://schemas.openxmlformats.org/officeDocument/2006/customXml" ds:itemID="{E7DC1936-01AE-48A4-9F53-8F9D87E4D2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249</TotalTime>
  <Pages>54</Pages>
  <Words>12827</Words>
  <Characters>73116</Characters>
  <Application>Microsoft Office Word</Application>
  <DocSecurity>0</DocSecurity>
  <Lines>609</Lines>
  <Paragraphs>171</Paragraphs>
  <ScaleCrop>false</ScaleCrop>
  <HeadingPairs>
    <vt:vector size="4" baseType="variant">
      <vt:variant>
        <vt:lpstr>Title</vt:lpstr>
      </vt:variant>
      <vt:variant>
        <vt:i4>1</vt:i4>
      </vt:variant>
      <vt:variant>
        <vt:lpstr>Τίτλος</vt:lpstr>
      </vt:variant>
      <vt:variant>
        <vt:i4>1</vt:i4>
      </vt:variant>
    </vt:vector>
  </HeadingPairs>
  <TitlesOfParts>
    <vt:vector size="2" baseType="lpstr">
      <vt:lpstr>Style ISP</vt:lpstr>
      <vt:lpstr>Style ISP</vt:lpstr>
    </vt:vector>
  </TitlesOfParts>
  <Company>csie</Company>
  <LinksUpToDate>false</LinksUpToDate>
  <CharactersWithSpaces>85772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Style ISP</dc:title>
  <dc:creator>madam</dc:creator>
  <cp:lastModifiedBy>Nadhir Al-Ansari</cp:lastModifiedBy>
  <cp:revision>5</cp:revision>
  <cp:lastPrinted>2010-11-10T15:06:00Z</cp:lastPrinted>
  <dcterms:created xsi:type="dcterms:W3CDTF">2019-11-16T10:40:00Z</dcterms:created>
  <dcterms:modified xsi:type="dcterms:W3CDTF">2019-11-17T10:04:00Z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6th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http://www.zotero.org/styles/ieee</vt:lpwstr>
  </property>
  <property fmtid="{D5CDD505-2E9C-101B-9397-08002B2CF9AE}" pid="13" name="Mendeley Recent Style Name 5_1">
    <vt:lpwstr>IEEE</vt:lpwstr>
  </property>
  <property fmtid="{D5CDD505-2E9C-101B-9397-08002B2CF9AE}" pid="14" name="Mendeley Recent Style Id 6_1">
    <vt:lpwstr>http://www.zotero.org/styles/modern-humanities-research-association</vt:lpwstr>
  </property>
  <property fmtid="{D5CDD505-2E9C-101B-9397-08002B2CF9AE}" pid="15" name="Mendeley Recent Style Name 6_1">
    <vt:lpwstr>Modern Humanities Research Association 3rd edition (note with bibliography)</vt:lpwstr>
  </property>
  <property fmtid="{D5CDD505-2E9C-101B-9397-08002B2CF9AE}" pid="16" name="Mendeley Recent Style Id 7_1">
    <vt:lpwstr>http://www.zotero.org/styles/modern-language-association</vt:lpwstr>
  </property>
  <property fmtid="{D5CDD505-2E9C-101B-9397-08002B2CF9AE}" pid="17" name="Mendeley Recent Style Name 7_1">
    <vt:lpwstr>Modern Language Association 8th edition</vt:lpwstr>
  </property>
  <property fmtid="{D5CDD505-2E9C-101B-9397-08002B2CF9AE}" pid="18" name="Mendeley Recent Style Id 8_1">
    <vt:lpwstr>http://www.zotero.org/styles/nature</vt:lpwstr>
  </property>
  <property fmtid="{D5CDD505-2E9C-101B-9397-08002B2CF9AE}" pid="19" name="Mendeley Recent Style Name 8_1">
    <vt:lpwstr>Nature</vt:lpwstr>
  </property>
  <property fmtid="{D5CDD505-2E9C-101B-9397-08002B2CF9AE}" pid="20" name="Mendeley Recent Style Id 9_1">
    <vt:lpwstr>http://www.zotero.org/styles/water</vt:lpwstr>
  </property>
  <property fmtid="{D5CDD505-2E9C-101B-9397-08002B2CF9AE}" pid="21" name="Mendeley Recent Style Name 9_1">
    <vt:lpwstr>Water</vt:lpwstr>
  </property>
  <property fmtid="{D5CDD505-2E9C-101B-9397-08002B2CF9AE}" pid="22" name="Mendeley Document_1">
    <vt:lpwstr>True</vt:lpwstr>
  </property>
  <property fmtid="{D5CDD505-2E9C-101B-9397-08002B2CF9AE}" pid="23" name="Mendeley Unique User Id_1">
    <vt:lpwstr>c9a8d1f6-c58b-30c6-8ed8-37153ae7a054</vt:lpwstr>
  </property>
  <property fmtid="{D5CDD505-2E9C-101B-9397-08002B2CF9AE}" pid="24" name="Mendeley Citation Style_1">
    <vt:lpwstr>http://www.zotero.org/styles/water</vt:lpwstr>
  </property>
</Properties>
</file>