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1FC" w14:textId="6309925D" w:rsidR="00AA4D6A" w:rsidRPr="00875A43" w:rsidRDefault="00764E42" w:rsidP="00875A43">
      <w:pPr>
        <w:jc w:val="center"/>
        <w:rPr>
          <w:rFonts w:ascii="Times New Roman" w:hAnsi="Times New Roman" w:cs="Times New Roman"/>
          <w:b/>
          <w:bCs/>
          <w:sz w:val="32"/>
          <w:szCs w:val="32"/>
        </w:rPr>
      </w:pPr>
      <w:r w:rsidRPr="00875A43">
        <w:rPr>
          <w:rFonts w:ascii="Times New Roman" w:hAnsi="Times New Roman" w:cs="Times New Roman"/>
          <w:b/>
          <w:bCs/>
          <w:sz w:val="32"/>
          <w:szCs w:val="32"/>
        </w:rPr>
        <w:t>A Principal Component Analysis of Digital Banking Development in Taiwan</w:t>
      </w:r>
    </w:p>
    <w:p w14:paraId="3EE2D1BB" w14:textId="06C03DCD" w:rsidR="00AA4D6A" w:rsidRPr="007F3F9C" w:rsidRDefault="00AA4D6A">
      <w:pPr>
        <w:rPr>
          <w:rFonts w:ascii="Times New Roman" w:hAnsi="Times New Roman" w:cs="Times New Roman"/>
        </w:rPr>
      </w:pPr>
    </w:p>
    <w:p w14:paraId="25FD719A" w14:textId="299ABAE9" w:rsidR="00E5533D" w:rsidRPr="00423E3F" w:rsidRDefault="00E5533D" w:rsidP="00E5533D">
      <w:pPr>
        <w:widowControl/>
        <w:jc w:val="center"/>
        <w:rPr>
          <w:rFonts w:ascii="Times New Roman" w:hAnsi="Times New Roman" w:cs="Times New Roman"/>
          <w:b/>
          <w:kern w:val="0"/>
          <w:szCs w:val="24"/>
          <w:vertAlign w:val="superscript"/>
          <w:lang w:val="en-GB"/>
        </w:rPr>
        <w:sectPr w:rsidR="00E5533D" w:rsidRPr="00423E3F">
          <w:footerReference w:type="default" r:id="rId8"/>
          <w:pgSz w:w="11906" w:h="16838"/>
          <w:pgMar w:top="1440" w:right="1800" w:bottom="1440" w:left="1800" w:header="851" w:footer="992" w:gutter="0"/>
          <w:cols w:space="425"/>
          <w:docGrid w:type="lines" w:linePitch="360"/>
        </w:sectPr>
      </w:pPr>
      <w:r w:rsidRPr="00423E3F">
        <w:rPr>
          <w:rFonts w:ascii="Times New Roman" w:hAnsi="Times New Roman" w:cs="Times New Roman"/>
          <w:b/>
          <w:kern w:val="0"/>
          <w:szCs w:val="24"/>
          <w:lang w:val="en-GB" w:eastAsia="en-US"/>
        </w:rPr>
        <w:t>Mei-Mei Lin</w:t>
      </w:r>
      <w:r w:rsidR="00423E3F" w:rsidRPr="00423E3F">
        <w:rPr>
          <w:rStyle w:val="af7"/>
          <w:rFonts w:ascii="Times New Roman" w:hAnsi="Times New Roman" w:cs="Times New Roman"/>
          <w:b/>
          <w:kern w:val="0"/>
          <w:szCs w:val="24"/>
          <w:lang w:val="en-GB" w:eastAsia="en-US"/>
        </w:rPr>
        <w:footnoteReference w:id="2"/>
      </w:r>
      <w:r w:rsidRPr="00423E3F">
        <w:rPr>
          <w:rFonts w:ascii="Times New Roman" w:hAnsi="Times New Roman" w:cs="Times New Roman"/>
          <w:b/>
          <w:kern w:val="0"/>
          <w:szCs w:val="24"/>
          <w:lang w:val="en-GB" w:eastAsia="en-US"/>
        </w:rPr>
        <w:t>, Fu-Hsiang Kuo</w:t>
      </w:r>
      <w:r w:rsidRPr="00423E3F">
        <w:rPr>
          <w:rFonts w:ascii="Times New Roman" w:hAnsi="Times New Roman" w:cs="Times New Roman" w:hint="eastAsia"/>
          <w:b/>
          <w:kern w:val="0"/>
          <w:szCs w:val="24"/>
          <w:vertAlign w:val="superscript"/>
          <w:lang w:val="en-GB"/>
        </w:rPr>
        <w:t>2</w:t>
      </w:r>
      <w:r w:rsidRPr="00423E3F">
        <w:rPr>
          <w:rFonts w:ascii="Times New Roman" w:hAnsi="Times New Roman" w:cs="Times New Roman"/>
          <w:b/>
          <w:kern w:val="0"/>
          <w:szCs w:val="24"/>
          <w:vertAlign w:val="superscript"/>
          <w:lang w:val="en-GB"/>
        </w:rPr>
        <w:t>*</w:t>
      </w:r>
    </w:p>
    <w:p w14:paraId="06FBF552" w14:textId="5D6C7A3D" w:rsidR="00E5533D" w:rsidRDefault="00E5533D" w:rsidP="00E5533D">
      <w:pPr>
        <w:widowControl/>
        <w:rPr>
          <w:rFonts w:ascii="Times New Roman" w:hAnsi="Times New Roman" w:cs="Times New Roman"/>
          <w:b/>
          <w:kern w:val="0"/>
          <w:sz w:val="22"/>
          <w:vertAlign w:val="superscript"/>
          <w:lang w:val="en-GB" w:eastAsia="en-US"/>
        </w:rPr>
        <w:sectPr w:rsidR="00E5533D" w:rsidSect="00E5533D">
          <w:footnotePr>
            <w:numFmt w:val="chicago"/>
          </w:footnotePr>
          <w:type w:val="continuous"/>
          <w:pgSz w:w="11906" w:h="16838"/>
          <w:pgMar w:top="1440" w:right="1800" w:bottom="1440" w:left="1800" w:header="851" w:footer="992" w:gutter="0"/>
          <w:cols w:space="425"/>
          <w:docGrid w:type="lines" w:linePitch="360"/>
        </w:sectPr>
      </w:pPr>
    </w:p>
    <w:p w14:paraId="32FCA569" w14:textId="7F81A51F" w:rsidR="00E5533D" w:rsidRDefault="00E5533D" w:rsidP="00E5533D">
      <w:pPr>
        <w:widowControl/>
        <w:rPr>
          <w:rFonts w:ascii="Times New Roman" w:hAnsi="Times New Roman" w:cs="Times New Roman"/>
          <w:b/>
          <w:kern w:val="0"/>
          <w:sz w:val="22"/>
          <w:lang w:val="en-GB" w:eastAsia="en-US"/>
        </w:rPr>
      </w:pPr>
    </w:p>
    <w:p w14:paraId="156F1FDC" w14:textId="77777777" w:rsidR="008A2991" w:rsidRPr="007F3F9C" w:rsidRDefault="008A2991">
      <w:pPr>
        <w:rPr>
          <w:rFonts w:ascii="Times New Roman" w:hAnsi="Times New Roman" w:cs="Times New Roman"/>
        </w:rPr>
      </w:pPr>
    </w:p>
    <w:p w14:paraId="7C602EFB" w14:textId="669B6E7B" w:rsidR="00423E3F" w:rsidRDefault="00277FBF" w:rsidP="00423E3F">
      <w:pPr>
        <w:jc w:val="center"/>
        <w:rPr>
          <w:rFonts w:ascii="Times New Roman" w:hAnsi="Times New Roman" w:cs="Times New Roman"/>
          <w:b/>
          <w:bCs/>
          <w:szCs w:val="24"/>
        </w:rPr>
      </w:pPr>
      <w:r w:rsidRPr="00423E3F">
        <w:rPr>
          <w:rFonts w:ascii="Times New Roman" w:hAnsi="Times New Roman" w:cs="Times New Roman"/>
          <w:b/>
          <w:bCs/>
          <w:szCs w:val="24"/>
        </w:rPr>
        <w:t>Abstract</w:t>
      </w:r>
    </w:p>
    <w:p w14:paraId="73EA54D9" w14:textId="77777777" w:rsidR="00423E3F" w:rsidRPr="00423E3F" w:rsidRDefault="00423E3F" w:rsidP="00423E3F">
      <w:pPr>
        <w:jc w:val="center"/>
        <w:rPr>
          <w:rFonts w:ascii="Times New Roman" w:hAnsi="Times New Roman" w:cs="Times New Roman"/>
          <w:b/>
          <w:bCs/>
          <w:i/>
          <w:iCs/>
          <w:szCs w:val="24"/>
        </w:rPr>
      </w:pPr>
    </w:p>
    <w:p w14:paraId="3330C2B0" w14:textId="265740DD" w:rsidR="00764E42" w:rsidRPr="00423E3F" w:rsidRDefault="00423E3F" w:rsidP="00624CC7">
      <w:pPr>
        <w:ind w:firstLineChars="200" w:firstLine="400"/>
        <w:jc w:val="both"/>
        <w:rPr>
          <w:rFonts w:ascii="Times New Roman" w:hAnsi="Times New Roman" w:cs="Times New Roman"/>
          <w:b/>
          <w:bCs/>
          <w:sz w:val="20"/>
          <w:szCs w:val="20"/>
        </w:rPr>
      </w:pPr>
      <w:r w:rsidRPr="00423E3F">
        <w:rPr>
          <w:rFonts w:ascii="Times New Roman" w:hAnsi="Times New Roman" w:cs="Times New Roman"/>
          <w:kern w:val="0"/>
          <w:sz w:val="20"/>
          <w:szCs w:val="20"/>
          <w:lang w:val="en-GB" w:eastAsia="en-GB"/>
        </w:rPr>
        <w:t>In Taiwan, the digitalization of banks has imparted a future trend and a national financial technology (FinTech) policy. This paper aims to study which factors will affect the promotion of digital banking amongst digital accounts. Categorically, we applied the principal components analysis (PCA) method to analyze and identify the main factors of digital banking development. In addition, this study used three years of data from 2017 to 2020 since the data were relatively comprehensive and included all the large financial holding companies (15 in total) in Taiwan. The empirical findings can briefly be summarized as follows: a bank that wants to promote digital accounts must start with a credit card since that is what digital finance must be bound to. They also need to let people know that digital accounts have many advantages, such as no deposit limits or interest-free cross-bank withdrawals. There are a few crucial factors that need to be considered, including the number of free transfers, the card in force, active cards, and the number of free withdrawals. If banks effectively promote and attract people to apply for digital accounts, it could strongly contribute to the development of digital banking in Taiwan.</w:t>
      </w:r>
    </w:p>
    <w:p w14:paraId="398AF4A8" w14:textId="1128A2D5" w:rsidR="00764E42" w:rsidRPr="007F3F9C" w:rsidRDefault="00764E42">
      <w:pPr>
        <w:rPr>
          <w:rFonts w:ascii="Times New Roman" w:hAnsi="Times New Roman" w:cs="Times New Roman"/>
        </w:rPr>
      </w:pPr>
    </w:p>
    <w:p w14:paraId="5EFB7ED9" w14:textId="14769014" w:rsidR="009735AB" w:rsidRPr="008A2991" w:rsidRDefault="009735AB" w:rsidP="009735AB">
      <w:pPr>
        <w:pStyle w:val="Default"/>
        <w:spacing w:before="120" w:after="120"/>
        <w:rPr>
          <w:color w:val="auto"/>
          <w:sz w:val="20"/>
          <w:szCs w:val="20"/>
          <w:lang w:val="en-GB" w:eastAsia="en-GB"/>
        </w:rPr>
      </w:pPr>
      <w:r w:rsidRPr="008A2991">
        <w:rPr>
          <w:b/>
          <w:color w:val="auto"/>
          <w:sz w:val="20"/>
          <w:szCs w:val="20"/>
          <w:lang w:val="en-GB" w:eastAsia="en-GB"/>
        </w:rPr>
        <w:t>Keywords:</w:t>
      </w:r>
      <w:r w:rsidRPr="008A2991">
        <w:rPr>
          <w:color w:val="auto"/>
          <w:sz w:val="20"/>
          <w:szCs w:val="20"/>
        </w:rPr>
        <w:t xml:space="preserve"> </w:t>
      </w:r>
      <w:r w:rsidRPr="008A2991">
        <w:rPr>
          <w:color w:val="auto"/>
          <w:sz w:val="20"/>
          <w:szCs w:val="20"/>
          <w:lang w:val="en-GB" w:eastAsia="en-GB"/>
        </w:rPr>
        <w:t xml:space="preserve">Financial </w:t>
      </w:r>
      <w:r w:rsidR="00875A43">
        <w:rPr>
          <w:rFonts w:hint="eastAsia"/>
          <w:color w:val="auto"/>
          <w:sz w:val="20"/>
          <w:szCs w:val="20"/>
          <w:lang w:val="en-GB"/>
        </w:rPr>
        <w:t>T</w:t>
      </w:r>
      <w:r w:rsidRPr="008A2991">
        <w:rPr>
          <w:color w:val="auto"/>
          <w:sz w:val="20"/>
          <w:szCs w:val="20"/>
          <w:lang w:val="en-GB" w:eastAsia="en-GB"/>
        </w:rPr>
        <w:t>echnology</w:t>
      </w:r>
      <w:r w:rsidR="00AA06D9" w:rsidRPr="008A2991">
        <w:rPr>
          <w:color w:val="auto"/>
          <w:sz w:val="20"/>
          <w:szCs w:val="20"/>
          <w:lang w:val="en-GB" w:eastAsia="en-GB"/>
        </w:rPr>
        <w:t>;</w:t>
      </w:r>
      <w:r w:rsidRPr="008A2991">
        <w:rPr>
          <w:color w:val="auto"/>
          <w:sz w:val="20"/>
          <w:szCs w:val="20"/>
          <w:lang w:val="en-GB" w:eastAsia="en-GB"/>
        </w:rPr>
        <w:t xml:space="preserve"> </w:t>
      </w:r>
      <w:r w:rsidR="00875A43">
        <w:rPr>
          <w:rFonts w:hint="eastAsia"/>
          <w:color w:val="auto"/>
          <w:sz w:val="20"/>
          <w:szCs w:val="20"/>
          <w:lang w:val="en-GB"/>
        </w:rPr>
        <w:t>D</w:t>
      </w:r>
      <w:r w:rsidR="00AA06D9" w:rsidRPr="008A2991">
        <w:rPr>
          <w:color w:val="auto"/>
          <w:sz w:val="20"/>
          <w:szCs w:val="20"/>
          <w:lang w:val="en-GB" w:eastAsia="en-GB"/>
        </w:rPr>
        <w:t xml:space="preserve">igital </w:t>
      </w:r>
      <w:r w:rsidR="00875A43">
        <w:rPr>
          <w:rFonts w:hint="eastAsia"/>
          <w:color w:val="auto"/>
          <w:sz w:val="20"/>
          <w:szCs w:val="20"/>
          <w:lang w:val="en-GB"/>
        </w:rPr>
        <w:t>B</w:t>
      </w:r>
      <w:r w:rsidR="00AA06D9" w:rsidRPr="008A2991">
        <w:rPr>
          <w:color w:val="auto"/>
          <w:sz w:val="20"/>
          <w:szCs w:val="20"/>
          <w:lang w:val="en-GB" w:eastAsia="en-GB"/>
        </w:rPr>
        <w:t xml:space="preserve">anking; </w:t>
      </w:r>
      <w:r w:rsidR="00875A43">
        <w:rPr>
          <w:rFonts w:hint="eastAsia"/>
          <w:color w:val="auto"/>
          <w:sz w:val="20"/>
          <w:szCs w:val="20"/>
          <w:lang w:val="en-GB"/>
        </w:rPr>
        <w:t>D</w:t>
      </w:r>
      <w:r w:rsidR="00AA06D9" w:rsidRPr="008A2991">
        <w:rPr>
          <w:color w:val="auto"/>
          <w:sz w:val="20"/>
          <w:szCs w:val="20"/>
          <w:lang w:val="en-GB" w:eastAsia="en-GB"/>
        </w:rPr>
        <w:t xml:space="preserve">igital </w:t>
      </w:r>
      <w:r w:rsidR="00875A43">
        <w:rPr>
          <w:rFonts w:hint="eastAsia"/>
          <w:color w:val="auto"/>
          <w:sz w:val="20"/>
          <w:szCs w:val="20"/>
          <w:lang w:val="en-GB"/>
        </w:rPr>
        <w:t>A</w:t>
      </w:r>
      <w:r w:rsidR="00AA06D9" w:rsidRPr="008A2991">
        <w:rPr>
          <w:color w:val="auto"/>
          <w:sz w:val="20"/>
          <w:szCs w:val="20"/>
          <w:lang w:val="en-GB" w:eastAsia="en-GB"/>
        </w:rPr>
        <w:t xml:space="preserve">ccount; </w:t>
      </w:r>
      <w:r w:rsidR="00875A43">
        <w:rPr>
          <w:rFonts w:hint="eastAsia"/>
          <w:color w:val="auto"/>
          <w:sz w:val="20"/>
          <w:szCs w:val="20"/>
          <w:lang w:val="en-GB"/>
        </w:rPr>
        <w:t>P</w:t>
      </w:r>
      <w:r w:rsidR="00AA06D9" w:rsidRPr="008A2991">
        <w:rPr>
          <w:color w:val="auto"/>
          <w:sz w:val="20"/>
          <w:szCs w:val="20"/>
          <w:lang w:val="en-GB" w:eastAsia="en-GB"/>
        </w:rPr>
        <w:t xml:space="preserve">rincipal </w:t>
      </w:r>
      <w:r w:rsidR="00875A43">
        <w:rPr>
          <w:rFonts w:hint="eastAsia"/>
          <w:color w:val="auto"/>
          <w:sz w:val="20"/>
          <w:szCs w:val="20"/>
          <w:lang w:val="en-GB"/>
        </w:rPr>
        <w:t>C</w:t>
      </w:r>
      <w:r w:rsidR="00AA06D9" w:rsidRPr="008A2991">
        <w:rPr>
          <w:color w:val="auto"/>
          <w:sz w:val="20"/>
          <w:szCs w:val="20"/>
          <w:lang w:val="en-GB" w:eastAsia="en-GB"/>
        </w:rPr>
        <w:t xml:space="preserve">omponents </w:t>
      </w:r>
      <w:r w:rsidR="00875A43">
        <w:rPr>
          <w:rFonts w:hint="eastAsia"/>
          <w:color w:val="auto"/>
          <w:sz w:val="20"/>
          <w:szCs w:val="20"/>
          <w:lang w:val="en-GB"/>
        </w:rPr>
        <w:t>A</w:t>
      </w:r>
      <w:r w:rsidR="00AA06D9" w:rsidRPr="008A2991">
        <w:rPr>
          <w:color w:val="auto"/>
          <w:sz w:val="20"/>
          <w:szCs w:val="20"/>
          <w:lang w:val="en-GB" w:eastAsia="en-GB"/>
        </w:rPr>
        <w:t>nalysis</w:t>
      </w:r>
    </w:p>
    <w:p w14:paraId="35C5F0E2" w14:textId="4F85EEFD" w:rsidR="00DA6571" w:rsidRDefault="00615698" w:rsidP="00E5533D">
      <w:pPr>
        <w:spacing w:after="240"/>
        <w:rPr>
          <w:rFonts w:ascii="Times New Roman" w:hAnsi="Times New Roman" w:cs="Times New Roman"/>
          <w:sz w:val="20"/>
          <w:szCs w:val="20"/>
        </w:rPr>
      </w:pPr>
      <w:r w:rsidRPr="008A2991">
        <w:rPr>
          <w:rFonts w:ascii="Times New Roman" w:hAnsi="Times New Roman" w:cs="Times New Roman"/>
          <w:b/>
          <w:sz w:val="20"/>
          <w:szCs w:val="20"/>
        </w:rPr>
        <w:t>JEL Classification:</w:t>
      </w:r>
      <w:r w:rsidRPr="008A2991">
        <w:rPr>
          <w:rFonts w:ascii="Times New Roman" w:hAnsi="Times New Roman" w:cs="Times New Roman"/>
          <w:sz w:val="20"/>
          <w:szCs w:val="20"/>
        </w:rPr>
        <w:t xml:space="preserve"> C45, G10.</w:t>
      </w:r>
    </w:p>
    <w:p w14:paraId="602E3DA5" w14:textId="68FFC5B2" w:rsidR="00E5533D" w:rsidRDefault="00E5533D" w:rsidP="00E5533D">
      <w:pPr>
        <w:spacing w:after="240"/>
        <w:rPr>
          <w:rFonts w:ascii="Times New Roman" w:hAnsi="Times New Roman" w:cs="Times New Roman"/>
          <w:sz w:val="20"/>
          <w:szCs w:val="20"/>
        </w:rPr>
      </w:pPr>
    </w:p>
    <w:p w14:paraId="375026F0" w14:textId="18F2A6E6" w:rsidR="00E5533D" w:rsidRDefault="00E5533D" w:rsidP="00E5533D">
      <w:pPr>
        <w:spacing w:after="240"/>
        <w:rPr>
          <w:rFonts w:ascii="Times New Roman" w:hAnsi="Times New Roman" w:cs="Times New Roman"/>
          <w:sz w:val="20"/>
          <w:szCs w:val="20"/>
        </w:rPr>
      </w:pPr>
    </w:p>
    <w:p w14:paraId="2FF973A3" w14:textId="10F74514" w:rsidR="00423E3F" w:rsidRDefault="00423E3F">
      <w:pPr>
        <w:widowControl/>
        <w:rPr>
          <w:rFonts w:ascii="Times New Roman" w:hAnsi="Times New Roman" w:cs="Times New Roman"/>
          <w:sz w:val="20"/>
          <w:szCs w:val="20"/>
        </w:rPr>
      </w:pPr>
      <w:r>
        <w:rPr>
          <w:rFonts w:ascii="Times New Roman" w:hAnsi="Times New Roman" w:cs="Times New Roman"/>
          <w:sz w:val="20"/>
          <w:szCs w:val="20"/>
        </w:rPr>
        <w:br w:type="page"/>
      </w:r>
    </w:p>
    <w:p w14:paraId="7921C756" w14:textId="77777777" w:rsidR="00E5533D" w:rsidRPr="00E5533D" w:rsidRDefault="00E5533D" w:rsidP="00E5533D">
      <w:pPr>
        <w:spacing w:after="240"/>
        <w:rPr>
          <w:rFonts w:ascii="Times New Roman" w:hAnsi="Times New Roman" w:cs="Times New Roman"/>
          <w:sz w:val="20"/>
          <w:szCs w:val="20"/>
        </w:rPr>
      </w:pPr>
    </w:p>
    <w:p w14:paraId="05B6DD14" w14:textId="46999D85" w:rsidR="000A66E9" w:rsidRPr="008A2991" w:rsidRDefault="000A66E9" w:rsidP="000A66E9">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Introduction</w:t>
      </w:r>
    </w:p>
    <w:p w14:paraId="2C61907D" w14:textId="31E35B26" w:rsidR="00EA3B4C" w:rsidRPr="008A2991" w:rsidRDefault="00EA3B4C"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In recent years, international banks have increasingly been transformed into digital </w:t>
      </w:r>
      <w:r w:rsidR="00AA06D9" w:rsidRPr="008A2991">
        <w:rPr>
          <w:rFonts w:ascii="Times New Roman" w:hAnsi="Times New Roman" w:cs="Times New Roman"/>
          <w:sz w:val="20"/>
          <w:szCs w:val="20"/>
        </w:rPr>
        <w:t>banks</w:t>
      </w:r>
      <w:r w:rsidRPr="008A2991">
        <w:rPr>
          <w:rFonts w:ascii="Times New Roman" w:hAnsi="Times New Roman" w:cs="Times New Roman"/>
          <w:sz w:val="20"/>
          <w:szCs w:val="20"/>
        </w:rPr>
        <w:t>. For example, Samenwerkende Nederlandse Spaar Banken (SNS Bank) in Utrecht, the Netherlands no longer allows physical cash processing transactions</w:t>
      </w:r>
      <w:r w:rsidR="000E05D4" w:rsidRPr="008A2991">
        <w:rPr>
          <w:rFonts w:ascii="Times New Roman" w:hAnsi="Times New Roman" w:cs="Times New Roman"/>
          <w:sz w:val="20"/>
          <w:szCs w:val="20"/>
        </w:rPr>
        <w:t>;</w:t>
      </w:r>
      <w:r w:rsidRPr="008A2991">
        <w:rPr>
          <w:rFonts w:ascii="Times New Roman" w:hAnsi="Times New Roman" w:cs="Times New Roman"/>
          <w:sz w:val="20"/>
          <w:szCs w:val="20"/>
        </w:rPr>
        <w:t xml:space="preserve"> all transactions are conducted via digital platforms. Today, banks seek to provide</w:t>
      </w:r>
      <w:r w:rsidR="000E05D4" w:rsidRPr="008A2991">
        <w:rPr>
          <w:rFonts w:ascii="Times New Roman" w:hAnsi="Times New Roman" w:cs="Times New Roman"/>
          <w:sz w:val="20"/>
          <w:szCs w:val="20"/>
        </w:rPr>
        <w:t xml:space="preserve"> financial services that </w:t>
      </w:r>
      <w:r w:rsidRPr="008A2991">
        <w:rPr>
          <w:rFonts w:ascii="Times New Roman" w:hAnsi="Times New Roman" w:cs="Times New Roman"/>
          <w:sz w:val="20"/>
          <w:szCs w:val="20"/>
        </w:rPr>
        <w:t>cost</w:t>
      </w:r>
      <w:r w:rsidR="000E05D4" w:rsidRPr="008A2991">
        <w:rPr>
          <w:rFonts w:ascii="Times New Roman" w:hAnsi="Times New Roman" w:cs="Times New Roman"/>
          <w:sz w:val="20"/>
          <w:szCs w:val="20"/>
        </w:rPr>
        <w:t xml:space="preserve"> less</w:t>
      </w:r>
      <w:r w:rsidRPr="008A2991">
        <w:rPr>
          <w:rFonts w:ascii="Times New Roman" w:hAnsi="Times New Roman" w:cs="Times New Roman"/>
          <w:sz w:val="20"/>
          <w:szCs w:val="20"/>
        </w:rPr>
        <w:t xml:space="preserve">, </w:t>
      </w:r>
      <w:r w:rsidR="000E05D4" w:rsidRPr="008A2991">
        <w:rPr>
          <w:rFonts w:ascii="Times New Roman" w:hAnsi="Times New Roman" w:cs="Times New Roman"/>
          <w:sz w:val="20"/>
          <w:szCs w:val="20"/>
        </w:rPr>
        <w:t>are more efficient</w:t>
      </w:r>
      <w:r w:rsidRPr="008A2991">
        <w:rPr>
          <w:rFonts w:ascii="Times New Roman" w:hAnsi="Times New Roman" w:cs="Times New Roman"/>
          <w:sz w:val="20"/>
          <w:szCs w:val="20"/>
        </w:rPr>
        <w:t>, and</w:t>
      </w:r>
      <w:r w:rsidR="000E05D4" w:rsidRPr="008A2991">
        <w:rPr>
          <w:rFonts w:ascii="Times New Roman" w:hAnsi="Times New Roman" w:cs="Times New Roman"/>
          <w:sz w:val="20"/>
          <w:szCs w:val="20"/>
        </w:rPr>
        <w:t xml:space="preserve"> are</w:t>
      </w:r>
      <w:r w:rsidRPr="008A2991">
        <w:rPr>
          <w:rFonts w:ascii="Times New Roman" w:hAnsi="Times New Roman" w:cs="Times New Roman"/>
          <w:sz w:val="20"/>
          <w:szCs w:val="20"/>
        </w:rPr>
        <w:t xml:space="preserve"> better</w:t>
      </w:r>
      <w:r w:rsidR="000E05D4"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quality. Financial </w:t>
      </w:r>
      <w:r w:rsidR="00AA06D9" w:rsidRPr="008A2991">
        <w:rPr>
          <w:rFonts w:ascii="Times New Roman" w:hAnsi="Times New Roman" w:cs="Times New Roman"/>
          <w:sz w:val="20"/>
          <w:szCs w:val="20"/>
        </w:rPr>
        <w:t>t</w:t>
      </w:r>
      <w:r w:rsidRPr="008A2991">
        <w:rPr>
          <w:rFonts w:ascii="Times New Roman" w:hAnsi="Times New Roman" w:cs="Times New Roman"/>
          <w:sz w:val="20"/>
          <w:szCs w:val="20"/>
        </w:rPr>
        <w:t>echnology (FinTech) can be used</w:t>
      </w:r>
      <w:r w:rsidR="000E05D4"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to provide </w:t>
      </w:r>
      <w:r w:rsidR="000E05D4" w:rsidRPr="008A2991">
        <w:rPr>
          <w:rFonts w:ascii="Times New Roman" w:hAnsi="Times New Roman" w:cs="Times New Roman"/>
          <w:sz w:val="20"/>
          <w:szCs w:val="20"/>
        </w:rPr>
        <w:t>these</w:t>
      </w:r>
      <w:r w:rsidRPr="008A2991">
        <w:rPr>
          <w:rFonts w:ascii="Times New Roman" w:hAnsi="Times New Roman" w:cs="Times New Roman"/>
          <w:sz w:val="20"/>
          <w:szCs w:val="20"/>
        </w:rPr>
        <w:t xml:space="preserve"> services. Thus,</w:t>
      </w:r>
      <w:r w:rsidR="00AA06D9" w:rsidRPr="008A2991">
        <w:rPr>
          <w:rFonts w:ascii="Times New Roman" w:hAnsi="Times New Roman" w:cs="Times New Roman"/>
          <w:sz w:val="20"/>
          <w:szCs w:val="20"/>
        </w:rPr>
        <w:t xml:space="preserve"> in 2021, </w:t>
      </w:r>
      <w:r w:rsidRPr="008A2991">
        <w:rPr>
          <w:rFonts w:ascii="Times New Roman" w:hAnsi="Times New Roman" w:cs="Times New Roman"/>
          <w:sz w:val="20"/>
          <w:szCs w:val="20"/>
        </w:rPr>
        <w:t xml:space="preserve">the Taiwanese government created </w:t>
      </w:r>
      <w:r w:rsidR="000E05D4" w:rsidRPr="008A2991">
        <w:rPr>
          <w:rFonts w:ascii="Times New Roman" w:hAnsi="Times New Roman" w:cs="Times New Roman"/>
          <w:sz w:val="20"/>
          <w:szCs w:val="20"/>
        </w:rPr>
        <w:t>a</w:t>
      </w:r>
      <w:r w:rsidRPr="008A2991">
        <w:rPr>
          <w:rFonts w:ascii="Times New Roman" w:hAnsi="Times New Roman" w:cs="Times New Roman"/>
          <w:sz w:val="20"/>
          <w:szCs w:val="20"/>
        </w:rPr>
        <w:t xml:space="preserve"> FinTech policy to further develop </w:t>
      </w:r>
      <w:r w:rsidR="000E05D4" w:rsidRPr="008A2991">
        <w:rPr>
          <w:rFonts w:ascii="Times New Roman" w:hAnsi="Times New Roman" w:cs="Times New Roman"/>
          <w:sz w:val="20"/>
          <w:szCs w:val="20"/>
        </w:rPr>
        <w:t xml:space="preserve">the </w:t>
      </w:r>
      <w:r w:rsidRPr="008A2991">
        <w:rPr>
          <w:rFonts w:ascii="Times New Roman" w:hAnsi="Times New Roman" w:cs="Times New Roman"/>
          <w:sz w:val="20"/>
          <w:szCs w:val="20"/>
        </w:rPr>
        <w:t>digital banking sector in line with its development focus.</w:t>
      </w:r>
    </w:p>
    <w:p w14:paraId="35F0C482" w14:textId="61249C2A" w:rsidR="00EA3B4C" w:rsidRPr="008A2991" w:rsidRDefault="00EA3B4C"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Since November 2019, the COVID-19 pandemic has spread to over 120 countries and regions worldwide, with over 300,000 people infected by the virus. The speed with which the pandemic spread forced several countries to undertake quarantine measures, which had a severe impact on the global economy. The only way to fight the virus was for individuals to practice social distancing. Consequently, the government accelerated the development of the digital banking sector, thereby increasing the willingness of the people to utilize digital banking services. </w:t>
      </w:r>
    </w:p>
    <w:p w14:paraId="0CBF826A" w14:textId="10F8C037" w:rsidR="00290141" w:rsidRPr="008A2991" w:rsidRDefault="00EA3B4C"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According to the Financial Supervision and Administration Commission’s (2020) statistics, the number of digital bank accounts in Taiwan reached 6</w:t>
      </w:r>
      <w:r w:rsidR="003D1DF7" w:rsidRPr="008A2991">
        <w:rPr>
          <w:rFonts w:ascii="Times New Roman" w:hAnsi="Times New Roman" w:cs="Times New Roman"/>
          <w:sz w:val="20"/>
          <w:szCs w:val="20"/>
        </w:rPr>
        <w:t>.</w:t>
      </w:r>
      <w:r w:rsidRPr="008A2991">
        <w:rPr>
          <w:rFonts w:ascii="Times New Roman" w:hAnsi="Times New Roman" w:cs="Times New Roman"/>
          <w:sz w:val="20"/>
          <w:szCs w:val="20"/>
        </w:rPr>
        <w:t>46 million, which represents not only an increase of 18.6% from the first quarter of 202</w:t>
      </w:r>
      <w:r w:rsidR="00D42C0E" w:rsidRPr="008A2991">
        <w:rPr>
          <w:rFonts w:ascii="Times New Roman" w:hAnsi="Times New Roman" w:cs="Times New Roman"/>
          <w:sz w:val="20"/>
          <w:szCs w:val="20"/>
        </w:rPr>
        <w:t>1</w:t>
      </w:r>
      <w:r w:rsidRPr="008A2991">
        <w:rPr>
          <w:rFonts w:ascii="Times New Roman" w:hAnsi="Times New Roman" w:cs="Times New Roman"/>
          <w:sz w:val="20"/>
          <w:szCs w:val="20"/>
        </w:rPr>
        <w:t>but also an increase of 45.5% from the 3.38 million accounts at the end of 2019 (Figure 1). By the end of 2021, the number of digital deposit accounts opened by Taiwanese people in various banks was expected to reach 10.47 million, an increase of 62%.</w:t>
      </w:r>
    </w:p>
    <w:p w14:paraId="1CFAC9A3" w14:textId="5086ED95" w:rsidR="008D5505" w:rsidRPr="007F3F9C" w:rsidRDefault="00B906C9" w:rsidP="003D1DF7">
      <w:pPr>
        <w:spacing w:beforeLines="50" w:before="180" w:afterLines="50" w:after="180"/>
        <w:jc w:val="center"/>
        <w:rPr>
          <w:rFonts w:ascii="Times New Roman" w:hAnsi="Times New Roman" w:cs="Times New Roman"/>
          <w:szCs w:val="24"/>
        </w:rPr>
      </w:pPr>
      <w:r w:rsidRPr="007F3F9C">
        <w:rPr>
          <w:rFonts w:ascii="Times New Roman" w:hAnsi="Times New Roman" w:cs="Times New Roman"/>
          <w:noProof/>
          <w:szCs w:val="24"/>
        </w:rPr>
        <w:drawing>
          <wp:inline distT="0" distB="0" distL="0" distR="0" wp14:anchorId="75AD91B8" wp14:editId="7945D81A">
            <wp:extent cx="5362575" cy="2019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468" cy="2022841"/>
                    </a:xfrm>
                    <a:prstGeom prst="rect">
                      <a:avLst/>
                    </a:prstGeom>
                    <a:noFill/>
                  </pic:spPr>
                </pic:pic>
              </a:graphicData>
            </a:graphic>
          </wp:inline>
        </w:drawing>
      </w:r>
    </w:p>
    <w:p w14:paraId="46CD67DC" w14:textId="77777777" w:rsidR="00392744" w:rsidRPr="008A2991" w:rsidRDefault="00392744" w:rsidP="00392744">
      <w:pPr>
        <w:spacing w:beforeLines="50" w:before="180" w:afterLines="50" w:after="180"/>
        <w:jc w:val="both"/>
        <w:rPr>
          <w:rFonts w:ascii="Times New Roman" w:hAnsi="Times New Roman" w:cs="Times New Roman"/>
          <w:sz w:val="20"/>
          <w:szCs w:val="20"/>
          <w:lang w:val="fr-FR"/>
        </w:rPr>
      </w:pPr>
      <w:r w:rsidRPr="008A2991">
        <w:rPr>
          <w:rFonts w:ascii="Times New Roman" w:hAnsi="Times New Roman" w:cs="Times New Roman"/>
          <w:sz w:val="20"/>
          <w:szCs w:val="20"/>
          <w:lang w:val="fr-FR"/>
        </w:rPr>
        <w:t>Figure 1 Number of digital bank accounts opened in Taiwan during the period 2016–2021</w:t>
      </w:r>
    </w:p>
    <w:p w14:paraId="765EA5D3" w14:textId="54FA7CBE" w:rsidR="00290141" w:rsidRPr="008A2991" w:rsidRDefault="001568FF" w:rsidP="001568FF">
      <w:pPr>
        <w:spacing w:beforeLines="50" w:before="180" w:afterLines="50" w:after="180"/>
        <w:jc w:val="both"/>
        <w:rPr>
          <w:rFonts w:ascii="Times New Roman" w:hAnsi="Times New Roman" w:cs="Times New Roman"/>
          <w:sz w:val="20"/>
          <w:szCs w:val="20"/>
          <w:lang w:val="fr-FR"/>
        </w:rPr>
      </w:pPr>
      <w:r w:rsidRPr="008A2991">
        <w:rPr>
          <w:rFonts w:ascii="Times New Roman" w:hAnsi="Times New Roman" w:cs="Times New Roman"/>
          <w:sz w:val="20"/>
          <w:szCs w:val="20"/>
          <w:lang w:val="fr-FR"/>
        </w:rPr>
        <w:t xml:space="preserve">Source: </w:t>
      </w:r>
      <w:hyperlink r:id="rId10" w:history="1">
        <w:r w:rsidR="00644A32" w:rsidRPr="008A2991">
          <w:rPr>
            <w:rStyle w:val="a9"/>
            <w:rFonts w:ascii="Times New Roman" w:hAnsi="Times New Roman" w:cs="Times New Roman"/>
            <w:sz w:val="20"/>
            <w:szCs w:val="20"/>
            <w:lang w:val="fr-FR"/>
          </w:rPr>
          <w:t>https://www.fsc.gov.tw/2021</w:t>
        </w:r>
      </w:hyperlink>
    </w:p>
    <w:p w14:paraId="5CE61466" w14:textId="4A2C12DD"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the current digital banking era, traditional domestic banks actively promote digital deposit accounts. According to the Taiwan Financial Supervisory Commission (TFSC</w:t>
      </w:r>
      <w:r w:rsidR="000917D3" w:rsidRPr="008A2991">
        <w:rPr>
          <w:rFonts w:ascii="Times New Roman" w:hAnsi="Times New Roman" w:cs="Times New Roman"/>
          <w:sz w:val="20"/>
          <w:szCs w:val="20"/>
        </w:rPr>
        <w:t>)</w:t>
      </w:r>
      <w:r w:rsidRPr="008A2991">
        <w:rPr>
          <w:rFonts w:ascii="Times New Roman" w:hAnsi="Times New Roman" w:cs="Times New Roman"/>
          <w:sz w:val="20"/>
          <w:szCs w:val="20"/>
        </w:rPr>
        <w:t xml:space="preserve">, at the end of March 2022, the total number of digital deposit accounts in Taiwan reached 10.47 million, </w:t>
      </w:r>
      <w:r w:rsidR="00AA06D9" w:rsidRPr="008A2991">
        <w:rPr>
          <w:rFonts w:ascii="Times New Roman" w:hAnsi="Times New Roman" w:cs="Times New Roman"/>
          <w:sz w:val="20"/>
          <w:szCs w:val="20"/>
        </w:rPr>
        <w:t xml:space="preserve">representing </w:t>
      </w:r>
      <w:r w:rsidRPr="008A2991">
        <w:rPr>
          <w:rFonts w:ascii="Times New Roman" w:hAnsi="Times New Roman" w:cs="Times New Roman"/>
          <w:sz w:val="20"/>
          <w:szCs w:val="20"/>
        </w:rPr>
        <w:t xml:space="preserve">a quarterly increase of 62%. Moreover, the number of new accounts increased in the following banks, </w:t>
      </w:r>
      <w:r w:rsidR="004A250B" w:rsidRPr="008A2991">
        <w:rPr>
          <w:rFonts w:ascii="Times New Roman" w:hAnsi="Times New Roman" w:cs="Times New Roman"/>
          <w:sz w:val="20"/>
          <w:szCs w:val="20"/>
        </w:rPr>
        <w:t xml:space="preserve">as </w:t>
      </w:r>
      <w:r w:rsidRPr="008A2991">
        <w:rPr>
          <w:rFonts w:ascii="Times New Roman" w:hAnsi="Times New Roman" w:cs="Times New Roman"/>
          <w:sz w:val="20"/>
          <w:szCs w:val="20"/>
        </w:rPr>
        <w:t xml:space="preserve">presented </w:t>
      </w:r>
      <w:r w:rsidRPr="008A2991">
        <w:rPr>
          <w:rFonts w:ascii="Times New Roman" w:hAnsi="Times New Roman" w:cs="Times New Roman"/>
          <w:sz w:val="20"/>
          <w:szCs w:val="20"/>
        </w:rPr>
        <w:lastRenderedPageBreak/>
        <w:t xml:space="preserve">in ranking </w:t>
      </w:r>
      <w:r w:rsidR="008704DA" w:rsidRPr="008A2991">
        <w:rPr>
          <w:rFonts w:ascii="Times New Roman" w:hAnsi="Times New Roman" w:cs="Times New Roman"/>
          <w:sz w:val="20"/>
          <w:szCs w:val="20"/>
        </w:rPr>
        <w:t>(</w:t>
      </w:r>
      <w:r w:rsidR="00406230" w:rsidRPr="008A2991">
        <w:rPr>
          <w:rFonts w:ascii="Times New Roman" w:hAnsi="Times New Roman" w:cs="Times New Roman" w:hint="eastAsia"/>
          <w:sz w:val="20"/>
          <w:szCs w:val="20"/>
        </w:rPr>
        <w:t>a</w:t>
      </w:r>
      <w:r w:rsidR="00406230" w:rsidRPr="008A2991">
        <w:rPr>
          <w:rFonts w:ascii="Times New Roman" w:hAnsi="Times New Roman" w:cs="Times New Roman"/>
          <w:sz w:val="20"/>
          <w:szCs w:val="20"/>
        </w:rPr>
        <w:t>rrange in descending order</w:t>
      </w:r>
      <w:r w:rsidR="008704DA"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order: Taishin Bank (private bank), Cathay United Bank (private bank), Bank SinoPac (private bank), First Bank (public bank), and Line Bank (private bank). Thus, the development of a digital deposit banking business is not easy, even when banks have existing branches and depositors as </w:t>
      </w:r>
      <w:r w:rsidR="000917D3" w:rsidRPr="008A2991">
        <w:rPr>
          <w:rFonts w:ascii="Times New Roman" w:hAnsi="Times New Roman" w:cs="Times New Roman"/>
          <w:sz w:val="20"/>
          <w:szCs w:val="20"/>
        </w:rPr>
        <w:t>their</w:t>
      </w:r>
      <w:r w:rsidRPr="008A2991">
        <w:rPr>
          <w:rFonts w:ascii="Times New Roman" w:hAnsi="Times New Roman" w:cs="Times New Roman"/>
          <w:sz w:val="20"/>
          <w:szCs w:val="20"/>
        </w:rPr>
        <w:t xml:space="preserve"> foundation.</w:t>
      </w:r>
    </w:p>
    <w:p w14:paraId="01A96566" w14:textId="7A9340DA"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Among the above banks, we found that Line Bank had a total number of about 6.238 million digital accounts, accounting for </w:t>
      </w:r>
      <w:r w:rsidR="004A250B" w:rsidRPr="008A2991">
        <w:rPr>
          <w:rFonts w:ascii="Times New Roman" w:hAnsi="Times New Roman" w:cs="Times New Roman"/>
          <w:sz w:val="20"/>
          <w:szCs w:val="20"/>
        </w:rPr>
        <w:t>almost</w:t>
      </w:r>
      <w:r w:rsidRPr="008A2991">
        <w:rPr>
          <w:rFonts w:ascii="Times New Roman" w:hAnsi="Times New Roman" w:cs="Times New Roman"/>
          <w:sz w:val="20"/>
          <w:szCs w:val="20"/>
        </w:rPr>
        <w:t xml:space="preserve"> 65.3% of </w:t>
      </w:r>
      <w:r w:rsidR="000917D3" w:rsidRPr="008A2991">
        <w:rPr>
          <w:rFonts w:ascii="Times New Roman" w:hAnsi="Times New Roman" w:cs="Times New Roman"/>
          <w:sz w:val="20"/>
          <w:szCs w:val="20"/>
        </w:rPr>
        <w:t>the total number.</w:t>
      </w:r>
      <w:r w:rsidRPr="008A2991">
        <w:rPr>
          <w:rFonts w:ascii="Times New Roman" w:hAnsi="Times New Roman" w:cs="Times New Roman"/>
          <w:sz w:val="20"/>
          <w:szCs w:val="20"/>
        </w:rPr>
        <w:t xml:space="preserve"> </w:t>
      </w:r>
      <w:r w:rsidR="000917D3" w:rsidRPr="008A2991">
        <w:rPr>
          <w:rFonts w:ascii="Times New Roman" w:hAnsi="Times New Roman" w:cs="Times New Roman"/>
          <w:sz w:val="20"/>
          <w:szCs w:val="20"/>
        </w:rPr>
        <w:t>T</w:t>
      </w:r>
      <w:r w:rsidRPr="008A2991">
        <w:rPr>
          <w:rFonts w:ascii="Times New Roman" w:hAnsi="Times New Roman" w:cs="Times New Roman"/>
          <w:sz w:val="20"/>
          <w:szCs w:val="20"/>
        </w:rPr>
        <w:t xml:space="preserve">here was </w:t>
      </w:r>
      <w:r w:rsidR="000917D3" w:rsidRPr="008A2991">
        <w:rPr>
          <w:rFonts w:ascii="Times New Roman" w:hAnsi="Times New Roman" w:cs="Times New Roman"/>
          <w:sz w:val="20"/>
          <w:szCs w:val="20"/>
        </w:rPr>
        <w:t xml:space="preserve">also </w:t>
      </w:r>
      <w:r w:rsidRPr="008A2991">
        <w:rPr>
          <w:rFonts w:ascii="Times New Roman" w:hAnsi="Times New Roman" w:cs="Times New Roman"/>
          <w:sz w:val="20"/>
          <w:szCs w:val="20"/>
        </w:rPr>
        <w:t>only one state-owned bank</w:t>
      </w:r>
      <w:r w:rsidR="000917D3" w:rsidRPr="008A2991">
        <w:rPr>
          <w:rFonts w:ascii="Times New Roman" w:hAnsi="Times New Roman" w:cs="Times New Roman"/>
          <w:sz w:val="20"/>
          <w:szCs w:val="20"/>
        </w:rPr>
        <w:t xml:space="preserve">, or </w:t>
      </w:r>
      <w:r w:rsidRPr="008A2991">
        <w:rPr>
          <w:rFonts w:ascii="Times New Roman" w:hAnsi="Times New Roman" w:cs="Times New Roman"/>
          <w:sz w:val="20"/>
          <w:szCs w:val="20"/>
        </w:rPr>
        <w:t>public bank</w:t>
      </w:r>
      <w:r w:rsidR="000917D3" w:rsidRPr="008A2991">
        <w:rPr>
          <w:rFonts w:ascii="Times New Roman" w:hAnsi="Times New Roman" w:cs="Times New Roman"/>
          <w:sz w:val="20"/>
          <w:szCs w:val="20"/>
        </w:rPr>
        <w:t xml:space="preserve">, </w:t>
      </w:r>
      <w:r w:rsidRPr="008A2991">
        <w:rPr>
          <w:rFonts w:ascii="Times New Roman" w:hAnsi="Times New Roman" w:cs="Times New Roman"/>
          <w:sz w:val="20"/>
          <w:szCs w:val="20"/>
        </w:rPr>
        <w:t>that was willing to promote digital accounts</w:t>
      </w:r>
      <w:r w:rsidR="000917D3" w:rsidRPr="008A2991">
        <w:rPr>
          <w:rFonts w:ascii="Times New Roman" w:hAnsi="Times New Roman" w:cs="Times New Roman"/>
          <w:sz w:val="20"/>
          <w:szCs w:val="20"/>
        </w:rPr>
        <w:t xml:space="preserve">, </w:t>
      </w:r>
      <w:r w:rsidR="004A250B" w:rsidRPr="008A2991">
        <w:rPr>
          <w:rFonts w:ascii="Times New Roman" w:hAnsi="Times New Roman" w:cs="Times New Roman"/>
          <w:sz w:val="20"/>
          <w:szCs w:val="20"/>
        </w:rPr>
        <w:t xml:space="preserve">namely, </w:t>
      </w:r>
      <w:r w:rsidR="000917D3" w:rsidRPr="008A2991">
        <w:rPr>
          <w:rFonts w:ascii="Times New Roman" w:hAnsi="Times New Roman" w:cs="Times New Roman"/>
          <w:sz w:val="20"/>
          <w:szCs w:val="20"/>
        </w:rPr>
        <w:t>First Bank (subsidiary of First Financial Group)</w:t>
      </w:r>
      <w:r w:rsidRPr="008A2991">
        <w:rPr>
          <w:rFonts w:ascii="Times New Roman" w:hAnsi="Times New Roman" w:cs="Times New Roman"/>
          <w:sz w:val="20"/>
          <w:szCs w:val="20"/>
        </w:rPr>
        <w:t xml:space="preserve">. The promotion of digital bank accounts has become part of the national FinTech policy </w:t>
      </w:r>
      <w:r w:rsidR="00E17627" w:rsidRPr="008A2991">
        <w:rPr>
          <w:rFonts w:ascii="Times New Roman" w:hAnsi="Times New Roman" w:cs="Times New Roman"/>
          <w:sz w:val="20"/>
          <w:szCs w:val="20"/>
        </w:rPr>
        <w:t>as</w:t>
      </w:r>
      <w:r w:rsidRPr="008A2991">
        <w:rPr>
          <w:rFonts w:ascii="Times New Roman" w:hAnsi="Times New Roman" w:cs="Times New Roman"/>
          <w:sz w:val="20"/>
          <w:szCs w:val="20"/>
        </w:rPr>
        <w:t xml:space="preserve"> the digitalization of banks </w:t>
      </w:r>
      <w:r w:rsidR="00E17627" w:rsidRPr="008A2991">
        <w:rPr>
          <w:rFonts w:ascii="Times New Roman" w:hAnsi="Times New Roman" w:cs="Times New Roman"/>
          <w:sz w:val="20"/>
          <w:szCs w:val="20"/>
        </w:rPr>
        <w:t>is indicative of</w:t>
      </w:r>
      <w:r w:rsidRPr="008A2991">
        <w:rPr>
          <w:rFonts w:ascii="Times New Roman" w:hAnsi="Times New Roman" w:cs="Times New Roman"/>
          <w:sz w:val="20"/>
          <w:szCs w:val="20"/>
        </w:rPr>
        <w:t xml:space="preserve"> an increasing trend. Why are Taiwanese banks not aggressively moving in this direction, and what are the reasons for their slow transformation? </w:t>
      </w:r>
      <w:r w:rsidR="008E7EE8" w:rsidRPr="008A2991">
        <w:rPr>
          <w:rFonts w:ascii="Times New Roman" w:hAnsi="Times New Roman" w:cs="Times New Roman"/>
          <w:sz w:val="20"/>
          <w:szCs w:val="20"/>
        </w:rPr>
        <w:t>We sought</w:t>
      </w:r>
      <w:r w:rsidRPr="008A2991">
        <w:rPr>
          <w:rFonts w:ascii="Times New Roman" w:hAnsi="Times New Roman" w:cs="Times New Roman"/>
          <w:sz w:val="20"/>
          <w:szCs w:val="20"/>
        </w:rPr>
        <w:t xml:space="preserve"> to answer these questions by using principal component analysis (PCA) to explore factors that affect the promotion of digital accounts (Hotelling, 1933, Jolliffe </w:t>
      </w:r>
      <w:r w:rsidR="001753AB" w:rsidRPr="008A2991">
        <w:rPr>
          <w:rFonts w:ascii="Times New Roman" w:hAnsi="Times New Roman" w:cs="Times New Roman"/>
          <w:sz w:val="20"/>
          <w:szCs w:val="20"/>
        </w:rPr>
        <w:t>&amp;</w:t>
      </w:r>
      <w:r w:rsidRPr="008A2991">
        <w:rPr>
          <w:rFonts w:ascii="Times New Roman" w:hAnsi="Times New Roman" w:cs="Times New Roman"/>
          <w:sz w:val="20"/>
          <w:szCs w:val="20"/>
        </w:rPr>
        <w:t xml:space="preserve"> Cadima, 2016, Pearson, 1901). The empirical results of this study can provide more realistic information to highlight the critical factors related to the development of digital banking in Taiwan.</w:t>
      </w:r>
    </w:p>
    <w:p w14:paraId="504820F8" w14:textId="3A87169C" w:rsidR="00C432E7"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Furthermore, the results of </w:t>
      </w:r>
      <w:r w:rsidR="008E7EE8"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study may offer marketing and promotional strategies for the digital banking sector in Taiwan. The remainder of th</w:t>
      </w:r>
      <w:r w:rsidR="008E7EE8" w:rsidRPr="008A2991">
        <w:rPr>
          <w:rFonts w:ascii="Times New Roman" w:hAnsi="Times New Roman" w:cs="Times New Roman"/>
          <w:sz w:val="20"/>
          <w:szCs w:val="20"/>
        </w:rPr>
        <w:t>is</w:t>
      </w:r>
      <w:r w:rsidRPr="008A2991">
        <w:rPr>
          <w:rFonts w:ascii="Times New Roman" w:hAnsi="Times New Roman" w:cs="Times New Roman"/>
          <w:sz w:val="20"/>
          <w:szCs w:val="20"/>
        </w:rPr>
        <w:t xml:space="preserve"> paper is organized as follows</w:t>
      </w:r>
      <w:r w:rsidR="004A250B" w:rsidRPr="008A2991">
        <w:rPr>
          <w:rFonts w:ascii="Times New Roman" w:hAnsi="Times New Roman" w:cs="Times New Roman"/>
          <w:sz w:val="20"/>
          <w:szCs w:val="20"/>
        </w:rPr>
        <w:t>.</w:t>
      </w:r>
      <w:r w:rsidRPr="008A2991">
        <w:rPr>
          <w:rFonts w:ascii="Times New Roman" w:hAnsi="Times New Roman" w:cs="Times New Roman"/>
          <w:sz w:val="20"/>
          <w:szCs w:val="20"/>
        </w:rPr>
        <w:t xml:space="preserve"> The second section discusses the status of digital banking development in Taiwan, while the third section presents the theoretical background of this study. The</w:t>
      </w:r>
      <w:r w:rsidR="008E7EE8" w:rsidRPr="008A2991">
        <w:rPr>
          <w:rFonts w:ascii="Times New Roman" w:hAnsi="Times New Roman" w:cs="Times New Roman"/>
          <w:sz w:val="20"/>
          <w:szCs w:val="20"/>
        </w:rPr>
        <w:t xml:space="preserve">se </w:t>
      </w:r>
      <w:r w:rsidRPr="008A2991">
        <w:rPr>
          <w:rFonts w:ascii="Times New Roman" w:hAnsi="Times New Roman" w:cs="Times New Roman"/>
          <w:sz w:val="20"/>
          <w:szCs w:val="20"/>
        </w:rPr>
        <w:t>sections present the research model and hypotheses as well as the empirical analyses and findings of our research. The final section discusses the research implications</w:t>
      </w:r>
      <w:r w:rsidR="008E7EE8" w:rsidRPr="008A2991">
        <w:rPr>
          <w:rFonts w:ascii="Times New Roman" w:hAnsi="Times New Roman" w:cs="Times New Roman"/>
          <w:sz w:val="20"/>
          <w:szCs w:val="20"/>
        </w:rPr>
        <w:t xml:space="preserve"> and</w:t>
      </w:r>
      <w:r w:rsidRPr="008A2991">
        <w:rPr>
          <w:rFonts w:ascii="Times New Roman" w:hAnsi="Times New Roman" w:cs="Times New Roman"/>
          <w:sz w:val="20"/>
          <w:szCs w:val="20"/>
        </w:rPr>
        <w:t xml:space="preserve"> limitations and presents suggestions for future research</w:t>
      </w:r>
      <w:r w:rsidR="00B16753" w:rsidRPr="008A2991">
        <w:rPr>
          <w:rFonts w:ascii="Times New Roman" w:hAnsi="Times New Roman" w:cs="Times New Roman"/>
          <w:sz w:val="20"/>
          <w:szCs w:val="20"/>
        </w:rPr>
        <w:t>.</w:t>
      </w:r>
    </w:p>
    <w:p w14:paraId="7D4400D5" w14:textId="3D8B0E17" w:rsidR="00FA4C03" w:rsidRPr="008A2991" w:rsidRDefault="00FA4C03" w:rsidP="00FA4C03">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 xml:space="preserve">Development </w:t>
      </w:r>
      <w:r w:rsidR="00E5533D" w:rsidRPr="00E5533D">
        <w:rPr>
          <w:rFonts w:ascii="Times New Roman" w:hAnsi="Times New Roman" w:cs="Times New Roman" w:hint="eastAsia"/>
          <w:sz w:val="22"/>
          <w:szCs w:val="28"/>
        </w:rPr>
        <w:t>s</w:t>
      </w:r>
      <w:r w:rsidRPr="008A2991">
        <w:rPr>
          <w:rFonts w:ascii="Times New Roman" w:hAnsi="Times New Roman" w:cs="Times New Roman"/>
          <w:sz w:val="22"/>
          <w:szCs w:val="28"/>
        </w:rPr>
        <w:t xml:space="preserve">tatus of </w:t>
      </w:r>
      <w:r w:rsidR="00E5533D" w:rsidRPr="00E5533D">
        <w:rPr>
          <w:rFonts w:ascii="Times New Roman" w:hAnsi="Times New Roman" w:cs="Times New Roman" w:hint="eastAsia"/>
          <w:sz w:val="22"/>
          <w:szCs w:val="28"/>
        </w:rPr>
        <w:t>d</w:t>
      </w:r>
      <w:r w:rsidRPr="008A2991">
        <w:rPr>
          <w:rFonts w:ascii="Times New Roman" w:hAnsi="Times New Roman" w:cs="Times New Roman"/>
          <w:sz w:val="22"/>
          <w:szCs w:val="28"/>
        </w:rPr>
        <w:t xml:space="preserve">igital </w:t>
      </w:r>
      <w:r w:rsidR="00E5533D" w:rsidRPr="00E5533D">
        <w:rPr>
          <w:rFonts w:ascii="Times New Roman" w:hAnsi="Times New Roman" w:cs="Times New Roman" w:hint="eastAsia"/>
          <w:sz w:val="22"/>
          <w:szCs w:val="28"/>
        </w:rPr>
        <w:t>b</w:t>
      </w:r>
      <w:r w:rsidRPr="008A2991">
        <w:rPr>
          <w:rFonts w:ascii="Times New Roman" w:hAnsi="Times New Roman" w:cs="Times New Roman"/>
          <w:sz w:val="22"/>
          <w:szCs w:val="28"/>
        </w:rPr>
        <w:t xml:space="preserve">anking </w:t>
      </w:r>
      <w:r w:rsidR="00E5533D" w:rsidRPr="00E5533D">
        <w:rPr>
          <w:rFonts w:ascii="Times New Roman" w:hAnsi="Times New Roman" w:cs="Times New Roman" w:hint="eastAsia"/>
          <w:sz w:val="22"/>
          <w:szCs w:val="28"/>
        </w:rPr>
        <w:t>d</w:t>
      </w:r>
      <w:r w:rsidRPr="008A2991">
        <w:rPr>
          <w:rFonts w:ascii="Times New Roman" w:hAnsi="Times New Roman" w:cs="Times New Roman"/>
          <w:sz w:val="22"/>
          <w:szCs w:val="28"/>
        </w:rPr>
        <w:t>evelopment in Taiwan</w:t>
      </w:r>
    </w:p>
    <w:p w14:paraId="0C5B1CF5" w14:textId="266CDCC1"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The development of FinTech has introduced significant changes to the financial industry, moving the traditional banking business model toward</w:t>
      </w:r>
      <w:r w:rsidR="004A250B" w:rsidRPr="008A2991">
        <w:rPr>
          <w:rFonts w:ascii="Times New Roman" w:hAnsi="Times New Roman" w:cs="Times New Roman"/>
          <w:sz w:val="20"/>
          <w:szCs w:val="20"/>
        </w:rPr>
        <w:t>s</w:t>
      </w:r>
      <w:r w:rsidRPr="008A2991">
        <w:rPr>
          <w:rFonts w:ascii="Times New Roman" w:hAnsi="Times New Roman" w:cs="Times New Roman"/>
          <w:sz w:val="20"/>
          <w:szCs w:val="20"/>
        </w:rPr>
        <w:t xml:space="preserve"> digitalization (Lee </w:t>
      </w:r>
      <w:r w:rsidR="001753AB" w:rsidRPr="008A2991">
        <w:rPr>
          <w:rFonts w:ascii="Times New Roman" w:hAnsi="Times New Roman" w:cs="Times New Roman"/>
          <w:sz w:val="20"/>
          <w:szCs w:val="20"/>
        </w:rPr>
        <w:t>&amp;</w:t>
      </w:r>
      <w:r w:rsidRPr="008A2991">
        <w:rPr>
          <w:rFonts w:ascii="Times New Roman" w:hAnsi="Times New Roman" w:cs="Times New Roman"/>
          <w:sz w:val="20"/>
          <w:szCs w:val="20"/>
        </w:rPr>
        <w:t xml:space="preserve"> Chung, 2009). </w:t>
      </w:r>
      <w:r w:rsidR="00CB33FB" w:rsidRPr="008A2991">
        <w:rPr>
          <w:rFonts w:ascii="Times New Roman" w:hAnsi="Times New Roman" w:cs="Times New Roman"/>
          <w:sz w:val="20"/>
          <w:szCs w:val="20"/>
        </w:rPr>
        <w:t>Following this</w:t>
      </w:r>
      <w:r w:rsidRPr="008A2991">
        <w:rPr>
          <w:rFonts w:ascii="Times New Roman" w:hAnsi="Times New Roman" w:cs="Times New Roman"/>
          <w:sz w:val="20"/>
          <w:szCs w:val="20"/>
        </w:rPr>
        <w:t xml:space="preserve"> trend, banks in Taiwan now integrate their services with FinTech to further optimize their service delivery. This integration provides customers with more convenient, more efficient, and better-quality digital financial services (also known as cashless payment services), e.g., Apple Pay, Samsung Pay, Line Pay, </w:t>
      </w:r>
      <w:r w:rsidR="004A250B" w:rsidRPr="008A2991">
        <w:rPr>
          <w:rFonts w:ascii="Times New Roman" w:hAnsi="Times New Roman" w:cs="Times New Roman"/>
          <w:sz w:val="20"/>
          <w:szCs w:val="20"/>
        </w:rPr>
        <w:t xml:space="preserve">and </w:t>
      </w:r>
      <w:r w:rsidRPr="008A2991">
        <w:rPr>
          <w:rFonts w:ascii="Times New Roman" w:hAnsi="Times New Roman" w:cs="Times New Roman"/>
          <w:sz w:val="20"/>
          <w:szCs w:val="20"/>
        </w:rPr>
        <w:t xml:space="preserve">Android Pay. Another new </w:t>
      </w:r>
      <w:r w:rsidR="00CB33FB" w:rsidRPr="008A2991">
        <w:rPr>
          <w:rFonts w:ascii="Times New Roman" w:hAnsi="Times New Roman" w:cs="Times New Roman"/>
          <w:sz w:val="20"/>
          <w:szCs w:val="20"/>
        </w:rPr>
        <w:t>offering</w:t>
      </w:r>
      <w:r w:rsidRPr="008A2991">
        <w:rPr>
          <w:rFonts w:ascii="Times New Roman" w:hAnsi="Times New Roman" w:cs="Times New Roman"/>
          <w:sz w:val="20"/>
          <w:szCs w:val="20"/>
        </w:rPr>
        <w:t xml:space="preserve"> is that Taiwan dollar transfers can be conducted using Touch ID (</w:t>
      </w:r>
      <w:r w:rsidR="00CB33FB" w:rsidRPr="008A2991">
        <w:rPr>
          <w:rFonts w:ascii="Times New Roman" w:hAnsi="Times New Roman" w:cs="Times New Roman"/>
          <w:sz w:val="20"/>
          <w:szCs w:val="20"/>
        </w:rPr>
        <w:t>i.e</w:t>
      </w:r>
      <w:r w:rsidR="003C5272" w:rsidRPr="008A2991">
        <w:rPr>
          <w:rFonts w:ascii="Times New Roman" w:hAnsi="Times New Roman" w:cs="Times New Roman"/>
          <w:sz w:val="20"/>
          <w:szCs w:val="20"/>
        </w:rPr>
        <w:t>.,</w:t>
      </w:r>
      <w:r w:rsidRPr="008A2991">
        <w:rPr>
          <w:rFonts w:ascii="Times New Roman" w:hAnsi="Times New Roman" w:cs="Times New Roman"/>
          <w:sz w:val="20"/>
          <w:szCs w:val="20"/>
        </w:rPr>
        <w:t xml:space="preserve"> Apple’s fingerprint recognition technology). With </w:t>
      </w:r>
      <w:r w:rsidR="004A250B" w:rsidRPr="008A2991">
        <w:rPr>
          <w:rFonts w:ascii="Times New Roman" w:hAnsi="Times New Roman" w:cs="Times New Roman"/>
          <w:sz w:val="20"/>
          <w:szCs w:val="20"/>
        </w:rPr>
        <w:t xml:space="preserve">the </w:t>
      </w:r>
      <w:r w:rsidRPr="008A2991">
        <w:rPr>
          <w:rFonts w:ascii="Times New Roman" w:hAnsi="Times New Roman" w:cs="Times New Roman"/>
          <w:sz w:val="20"/>
          <w:szCs w:val="20"/>
        </w:rPr>
        <w:t>mature digital finance technologies, customers can</w:t>
      </w:r>
      <w:r w:rsidR="00025E86" w:rsidRPr="008A2991">
        <w:rPr>
          <w:rFonts w:ascii="Times New Roman" w:hAnsi="Times New Roman" w:cs="Times New Roman"/>
          <w:sz w:val="20"/>
          <w:szCs w:val="20"/>
        </w:rPr>
        <w:t xml:space="preserve"> not only</w:t>
      </w:r>
      <w:r w:rsidRPr="008A2991">
        <w:rPr>
          <w:rFonts w:ascii="Times New Roman" w:hAnsi="Times New Roman" w:cs="Times New Roman"/>
          <w:sz w:val="20"/>
          <w:szCs w:val="20"/>
        </w:rPr>
        <w:t xml:space="preserve"> exchange currency 24 hours a day </w:t>
      </w:r>
      <w:r w:rsidR="00025E86" w:rsidRPr="008A2991">
        <w:rPr>
          <w:rFonts w:ascii="Times New Roman" w:hAnsi="Times New Roman" w:cs="Times New Roman"/>
          <w:sz w:val="20"/>
          <w:szCs w:val="20"/>
        </w:rPr>
        <w:t>but also</w:t>
      </w:r>
      <w:r w:rsidRPr="008A2991">
        <w:rPr>
          <w:rFonts w:ascii="Times New Roman" w:hAnsi="Times New Roman" w:cs="Times New Roman"/>
          <w:sz w:val="20"/>
          <w:szCs w:val="20"/>
        </w:rPr>
        <w:t xml:space="preserve"> buy foreign currency and traveler’s checks online. These achievements </w:t>
      </w:r>
      <w:r w:rsidR="00265234" w:rsidRPr="008A2991">
        <w:rPr>
          <w:rFonts w:ascii="Times New Roman" w:hAnsi="Times New Roman" w:cs="Times New Roman"/>
          <w:sz w:val="20"/>
          <w:szCs w:val="20"/>
        </w:rPr>
        <w:t xml:space="preserve">have been made possible through </w:t>
      </w:r>
      <w:r w:rsidRPr="008A2991">
        <w:rPr>
          <w:rFonts w:ascii="Times New Roman" w:hAnsi="Times New Roman" w:cs="Times New Roman"/>
          <w:sz w:val="20"/>
          <w:szCs w:val="20"/>
        </w:rPr>
        <w:t>digital finance, which will further lead to the development of critical national industries</w:t>
      </w:r>
      <w:r w:rsidR="004A250B" w:rsidRPr="008A2991">
        <w:rPr>
          <w:rFonts w:ascii="Times New Roman" w:hAnsi="Times New Roman" w:cs="Times New Roman"/>
          <w:sz w:val="20"/>
          <w:szCs w:val="20"/>
        </w:rPr>
        <w:t>,</w:t>
      </w:r>
      <w:r w:rsidRPr="008A2991">
        <w:rPr>
          <w:rFonts w:ascii="Times New Roman" w:hAnsi="Times New Roman" w:cs="Times New Roman"/>
          <w:sz w:val="20"/>
          <w:szCs w:val="20"/>
        </w:rPr>
        <w:t xml:space="preserve"> such as the Internet of </w:t>
      </w:r>
      <w:r w:rsidR="00265234" w:rsidRPr="008A2991">
        <w:rPr>
          <w:rFonts w:ascii="Times New Roman" w:hAnsi="Times New Roman" w:cs="Times New Roman"/>
          <w:sz w:val="20"/>
          <w:szCs w:val="20"/>
        </w:rPr>
        <w:t>T</w:t>
      </w:r>
      <w:r w:rsidRPr="008A2991">
        <w:rPr>
          <w:rFonts w:ascii="Times New Roman" w:hAnsi="Times New Roman" w:cs="Times New Roman"/>
          <w:sz w:val="20"/>
          <w:szCs w:val="20"/>
        </w:rPr>
        <w:t xml:space="preserve">hings (IoT), intelligent robots, green energy, and medical care. Thus, Taiwan’s digital economy is expected </w:t>
      </w:r>
      <w:r w:rsidR="004A250B" w:rsidRPr="008A2991">
        <w:rPr>
          <w:rFonts w:ascii="Times New Roman" w:hAnsi="Times New Roman" w:cs="Times New Roman"/>
          <w:sz w:val="20"/>
          <w:szCs w:val="20"/>
        </w:rPr>
        <w:t xml:space="preserve">to </w:t>
      </w:r>
      <w:r w:rsidRPr="008A2991">
        <w:rPr>
          <w:rFonts w:ascii="Times New Roman" w:hAnsi="Times New Roman" w:cs="Times New Roman"/>
          <w:sz w:val="20"/>
          <w:szCs w:val="20"/>
        </w:rPr>
        <w:t xml:space="preserve">grow to NT$6.5 trillion by 2025. </w:t>
      </w:r>
    </w:p>
    <w:p w14:paraId="1DB77467" w14:textId="60F2B4DF" w:rsidR="00290141"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this study, before establishing the empirical model, we list</w:t>
      </w:r>
      <w:r w:rsidR="00265234" w:rsidRPr="008A2991">
        <w:rPr>
          <w:rFonts w:ascii="Times New Roman" w:hAnsi="Times New Roman" w:cs="Times New Roman"/>
          <w:sz w:val="20"/>
          <w:szCs w:val="20"/>
        </w:rPr>
        <w:t>ed</w:t>
      </w:r>
      <w:r w:rsidRPr="008A2991">
        <w:rPr>
          <w:rFonts w:ascii="Times New Roman" w:hAnsi="Times New Roman" w:cs="Times New Roman"/>
          <w:sz w:val="20"/>
          <w:szCs w:val="20"/>
        </w:rPr>
        <w:t xml:space="preserve"> as many preliminary assessment factors as possible related to the development of digital banking in Taiwan. For </w:t>
      </w:r>
      <w:r w:rsidR="004A250B" w:rsidRPr="008A2991">
        <w:rPr>
          <w:rFonts w:ascii="Times New Roman" w:hAnsi="Times New Roman" w:cs="Times New Roman"/>
          <w:sz w:val="20"/>
          <w:szCs w:val="20"/>
        </w:rPr>
        <w:t xml:space="preserve">the </w:t>
      </w:r>
      <w:r w:rsidRPr="008A2991">
        <w:rPr>
          <w:rFonts w:ascii="Times New Roman" w:hAnsi="Times New Roman" w:cs="Times New Roman"/>
          <w:sz w:val="20"/>
          <w:szCs w:val="20"/>
        </w:rPr>
        <w:t>PCA in this study, we refer to the TFSC’s statistics reports for the period 201</w:t>
      </w:r>
      <w:r w:rsidR="00406230" w:rsidRPr="008A2991">
        <w:rPr>
          <w:rFonts w:ascii="Times New Roman" w:hAnsi="Times New Roman" w:cs="Times New Roman" w:hint="eastAsia"/>
          <w:sz w:val="20"/>
          <w:szCs w:val="20"/>
        </w:rPr>
        <w:t>7</w:t>
      </w:r>
      <w:r w:rsidRPr="008A2991">
        <w:rPr>
          <w:rFonts w:ascii="Times New Roman" w:hAnsi="Times New Roman" w:cs="Times New Roman"/>
          <w:sz w:val="20"/>
          <w:szCs w:val="20"/>
        </w:rPr>
        <w:t>–202</w:t>
      </w:r>
      <w:r w:rsidR="00406230" w:rsidRPr="008A2991">
        <w:rPr>
          <w:rFonts w:ascii="Times New Roman" w:hAnsi="Times New Roman" w:cs="Times New Roman" w:hint="eastAsia"/>
          <w:sz w:val="20"/>
          <w:szCs w:val="20"/>
        </w:rPr>
        <w:t>0</w:t>
      </w:r>
      <w:r w:rsidR="00406230" w:rsidRPr="008A2991">
        <w:rPr>
          <w:rFonts w:ascii="Times New Roman" w:hAnsi="Times New Roman" w:cs="Times New Roman"/>
          <w:sz w:val="20"/>
          <w:szCs w:val="20"/>
        </w:rPr>
        <w:t xml:space="preserve"> </w:t>
      </w:r>
      <w:r w:rsidRPr="008A2991">
        <w:rPr>
          <w:rFonts w:ascii="Times New Roman" w:hAnsi="Times New Roman" w:cs="Times New Roman"/>
          <w:sz w:val="20"/>
          <w:szCs w:val="20"/>
        </w:rPr>
        <w:t>and various financial holding websites to identify relevant influencing variables</w:t>
      </w:r>
      <w:r w:rsidR="004A250B" w:rsidRPr="008A2991">
        <w:rPr>
          <w:rFonts w:ascii="Times New Roman" w:hAnsi="Times New Roman" w:cs="Times New Roman"/>
          <w:sz w:val="20"/>
          <w:szCs w:val="20"/>
        </w:rPr>
        <w:t>,</w:t>
      </w:r>
      <w:r w:rsidRPr="008A2991">
        <w:rPr>
          <w:rFonts w:ascii="Times New Roman" w:hAnsi="Times New Roman" w:cs="Times New Roman"/>
          <w:sz w:val="20"/>
          <w:szCs w:val="20"/>
        </w:rPr>
        <w:t xml:space="preserve"> such as </w:t>
      </w:r>
      <w:r w:rsidR="00CC75BD"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number of digital accounts, cards in force, active cards, </w:t>
      </w:r>
      <w:r w:rsidRPr="008A2991">
        <w:rPr>
          <w:rFonts w:ascii="Times New Roman" w:hAnsi="Times New Roman" w:cs="Times New Roman"/>
          <w:sz w:val="20"/>
          <w:szCs w:val="20"/>
        </w:rPr>
        <w:lastRenderedPageBreak/>
        <w:t>interest rates, number of free inter-bank transfers, number of free cash withdrawals, deposit limits, and account-opening age limits</w:t>
      </w:r>
      <w:r w:rsidR="00B16753" w:rsidRPr="008A2991">
        <w:rPr>
          <w:rFonts w:ascii="Times New Roman" w:hAnsi="Times New Roman" w:cs="Times New Roman"/>
          <w:sz w:val="20"/>
          <w:szCs w:val="20"/>
        </w:rPr>
        <w:t>.</w:t>
      </w:r>
    </w:p>
    <w:p w14:paraId="2C9D6821" w14:textId="7FE10B65" w:rsidR="000A66E9" w:rsidRPr="008A2991" w:rsidRDefault="004E7B42" w:rsidP="000A66E9">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 xml:space="preserve">Literature </w:t>
      </w:r>
      <w:r w:rsidR="00E5533D" w:rsidRPr="00E5533D">
        <w:rPr>
          <w:rFonts w:ascii="Times New Roman" w:hAnsi="Times New Roman" w:cs="Times New Roman" w:hint="eastAsia"/>
          <w:sz w:val="22"/>
          <w:szCs w:val="28"/>
        </w:rPr>
        <w:t>r</w:t>
      </w:r>
      <w:r w:rsidRPr="008A2991">
        <w:rPr>
          <w:rFonts w:ascii="Times New Roman" w:hAnsi="Times New Roman" w:cs="Times New Roman"/>
          <w:sz w:val="22"/>
          <w:szCs w:val="28"/>
        </w:rPr>
        <w:t xml:space="preserve">eview and </w:t>
      </w:r>
      <w:r w:rsidR="00E5533D" w:rsidRPr="00E5533D">
        <w:rPr>
          <w:rFonts w:ascii="Times New Roman" w:hAnsi="Times New Roman" w:cs="Times New Roman" w:hint="eastAsia"/>
          <w:sz w:val="22"/>
          <w:szCs w:val="28"/>
        </w:rPr>
        <w:t>c</w:t>
      </w:r>
      <w:r w:rsidRPr="008A2991">
        <w:rPr>
          <w:rFonts w:ascii="Times New Roman" w:hAnsi="Times New Roman" w:cs="Times New Roman"/>
          <w:sz w:val="22"/>
          <w:szCs w:val="28"/>
        </w:rPr>
        <w:t xml:space="preserve">onceptual </w:t>
      </w:r>
      <w:r w:rsidR="00E5533D" w:rsidRPr="00E5533D">
        <w:rPr>
          <w:rFonts w:ascii="Times New Roman" w:hAnsi="Times New Roman" w:cs="Times New Roman" w:hint="eastAsia"/>
          <w:sz w:val="22"/>
          <w:szCs w:val="28"/>
        </w:rPr>
        <w:t>f</w:t>
      </w:r>
      <w:r w:rsidRPr="008A2991">
        <w:rPr>
          <w:rFonts w:ascii="Times New Roman" w:hAnsi="Times New Roman" w:cs="Times New Roman"/>
          <w:sz w:val="22"/>
          <w:szCs w:val="28"/>
        </w:rPr>
        <w:t>ramework</w:t>
      </w:r>
    </w:p>
    <w:p w14:paraId="0BA483F0" w14:textId="63D6F662"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Chauhan (2018) observed that the wave of new technologies sweeping the financial industry transformed the structure of traditional banking services. </w:t>
      </w:r>
      <w:r w:rsidR="006E086D" w:rsidRPr="008A2991">
        <w:rPr>
          <w:rFonts w:ascii="Times New Roman" w:hAnsi="Times New Roman" w:cs="Times New Roman"/>
          <w:sz w:val="20"/>
          <w:szCs w:val="20"/>
        </w:rPr>
        <w:t>O</w:t>
      </w:r>
      <w:r w:rsidRPr="008A2991">
        <w:rPr>
          <w:rFonts w:ascii="Times New Roman" w:hAnsi="Times New Roman" w:cs="Times New Roman"/>
          <w:sz w:val="20"/>
          <w:szCs w:val="20"/>
        </w:rPr>
        <w:t xml:space="preserve">nline banking, self-service kiosks, financial consolidation, and 24-hour access have changed the general perception </w:t>
      </w:r>
      <w:r w:rsidR="006E086D" w:rsidRPr="008A2991">
        <w:rPr>
          <w:rFonts w:ascii="Times New Roman" w:hAnsi="Times New Roman" w:cs="Times New Roman"/>
          <w:sz w:val="20"/>
          <w:szCs w:val="20"/>
        </w:rPr>
        <w:t>about</w:t>
      </w:r>
      <w:r w:rsidRPr="008A2991">
        <w:rPr>
          <w:rFonts w:ascii="Times New Roman" w:hAnsi="Times New Roman" w:cs="Times New Roman"/>
          <w:sz w:val="20"/>
          <w:szCs w:val="20"/>
        </w:rPr>
        <w:t xml:space="preserve"> the need for digital banking services. Taiwan is no exception to this trend.</w:t>
      </w:r>
    </w:p>
    <w:p w14:paraId="3EECE9D7" w14:textId="05E183C8" w:rsidR="00EE6EEB" w:rsidRPr="008A2991" w:rsidRDefault="008C217A" w:rsidP="007D1E4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In recent years, the Taiwanese government has implemented the “Finance 3.0 Policy,” to help domestic banks develop their digital financial services </w:t>
      </w:r>
      <w:r w:rsidR="004D65E0" w:rsidRPr="008A2991">
        <w:rPr>
          <w:rFonts w:ascii="Times New Roman" w:hAnsi="Times New Roman" w:cs="Times New Roman"/>
          <w:sz w:val="20"/>
          <w:szCs w:val="20"/>
        </w:rPr>
        <w:t xml:space="preserve">and align with </w:t>
      </w:r>
      <w:r w:rsidR="006E086D" w:rsidRPr="008A2991">
        <w:rPr>
          <w:rFonts w:ascii="Times New Roman" w:hAnsi="Times New Roman" w:cs="Times New Roman"/>
          <w:sz w:val="20"/>
          <w:szCs w:val="20"/>
        </w:rPr>
        <w:t>international</w:t>
      </w:r>
      <w:r w:rsidRPr="008A2991">
        <w:rPr>
          <w:rFonts w:ascii="Times New Roman" w:hAnsi="Times New Roman" w:cs="Times New Roman"/>
          <w:sz w:val="20"/>
          <w:szCs w:val="20"/>
        </w:rPr>
        <w:t xml:space="preserve"> trend</w:t>
      </w:r>
      <w:r w:rsidR="006E086D" w:rsidRPr="008A2991">
        <w:rPr>
          <w:rFonts w:ascii="Times New Roman" w:hAnsi="Times New Roman" w:cs="Times New Roman"/>
          <w:sz w:val="20"/>
          <w:szCs w:val="20"/>
        </w:rPr>
        <w:t>s toward digitization</w:t>
      </w:r>
      <w:r w:rsidRPr="008A2991">
        <w:rPr>
          <w:rFonts w:ascii="Times New Roman" w:hAnsi="Times New Roman" w:cs="Times New Roman"/>
          <w:sz w:val="20"/>
          <w:szCs w:val="20"/>
        </w:rPr>
        <w:t xml:space="preserve">. </w:t>
      </w:r>
      <w:r w:rsidR="007D1E42" w:rsidRPr="008A2991">
        <w:rPr>
          <w:rFonts w:ascii="Times New Roman" w:hAnsi="Times New Roman" w:cs="Times New Roman"/>
          <w:sz w:val="20"/>
          <w:szCs w:val="20"/>
        </w:rPr>
        <w:t>Thus, it is inevitable that banks will gradually change their traditional branch strategies and invest in digital development</w:t>
      </w:r>
      <w:r w:rsidR="00E426F5" w:rsidRPr="008A2991">
        <w:rPr>
          <w:rFonts w:ascii="Times New Roman" w:hAnsi="Times New Roman" w:cs="Times New Roman"/>
          <w:sz w:val="20"/>
          <w:szCs w:val="20"/>
        </w:rPr>
        <w:t>.</w:t>
      </w:r>
      <w:r w:rsidR="007D1E42" w:rsidRPr="008A2991">
        <w:rPr>
          <w:rFonts w:ascii="Times New Roman" w:hAnsi="Times New Roman" w:cs="Times New Roman"/>
          <w:sz w:val="20"/>
          <w:szCs w:val="20"/>
        </w:rPr>
        <w:t xml:space="preserve"> </w:t>
      </w:r>
      <w:r w:rsidR="00E426F5" w:rsidRPr="008A2991">
        <w:rPr>
          <w:rFonts w:ascii="Times New Roman" w:hAnsi="Times New Roman" w:cs="Times New Roman"/>
          <w:sz w:val="20"/>
          <w:szCs w:val="20"/>
        </w:rPr>
        <w:t>Along</w:t>
      </w:r>
      <w:r w:rsidR="007D1E42" w:rsidRPr="008A2991">
        <w:rPr>
          <w:rFonts w:ascii="Times New Roman" w:hAnsi="Times New Roman" w:cs="Times New Roman"/>
          <w:sz w:val="20"/>
          <w:szCs w:val="20"/>
        </w:rPr>
        <w:t xml:space="preserve"> with the</w:t>
      </w:r>
      <w:r w:rsidR="00E426F5" w:rsidRPr="008A2991">
        <w:rPr>
          <w:rFonts w:ascii="Times New Roman" w:hAnsi="Times New Roman" w:cs="Times New Roman"/>
          <w:sz w:val="20"/>
          <w:szCs w:val="20"/>
        </w:rPr>
        <w:t xml:space="preserve"> progression of the</w:t>
      </w:r>
      <w:r w:rsidR="007D1E42" w:rsidRPr="008A2991">
        <w:rPr>
          <w:rFonts w:ascii="Times New Roman" w:hAnsi="Times New Roman" w:cs="Times New Roman"/>
          <w:sz w:val="20"/>
          <w:szCs w:val="20"/>
        </w:rPr>
        <w:t xml:space="preserve"> internet, the banking system has </w:t>
      </w:r>
      <w:r w:rsidR="00E426F5" w:rsidRPr="008A2991">
        <w:rPr>
          <w:rFonts w:ascii="Times New Roman" w:hAnsi="Times New Roman" w:cs="Times New Roman"/>
          <w:sz w:val="20"/>
          <w:szCs w:val="20"/>
        </w:rPr>
        <w:t>had</w:t>
      </w:r>
      <w:r w:rsidR="007D1E42" w:rsidRPr="008A2991">
        <w:rPr>
          <w:rFonts w:ascii="Times New Roman" w:hAnsi="Times New Roman" w:cs="Times New Roman"/>
          <w:sz w:val="20"/>
          <w:szCs w:val="20"/>
        </w:rPr>
        <w:t xml:space="preserve"> to reconsider its informational technology strategies and is now faced with </w:t>
      </w:r>
      <w:r w:rsidR="00E426F5" w:rsidRPr="008A2991">
        <w:rPr>
          <w:rFonts w:ascii="Times New Roman" w:hAnsi="Times New Roman" w:cs="Times New Roman"/>
          <w:sz w:val="20"/>
          <w:szCs w:val="20"/>
        </w:rPr>
        <w:t>the</w:t>
      </w:r>
      <w:r w:rsidR="007D1E42" w:rsidRPr="008A2991">
        <w:rPr>
          <w:rFonts w:ascii="Times New Roman" w:hAnsi="Times New Roman" w:cs="Times New Roman"/>
          <w:sz w:val="20"/>
          <w:szCs w:val="20"/>
        </w:rPr>
        <w:t xml:space="preserve"> increased challenge of marketing its products using the internet as a platform (Al-Qeisi &amp; Hegazy, 2015).</w:t>
      </w:r>
    </w:p>
    <w:p w14:paraId="3399FB4B" w14:textId="10863356" w:rsidR="00AB1482"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At present, there are two main types of digital payments: electronic payments and mobile payments. According to the TFSC (2022), these two payment methods have their own definitions</w:t>
      </w:r>
      <w:r w:rsidR="0022750D" w:rsidRPr="008A2991">
        <w:rPr>
          <w:rFonts w:ascii="Times New Roman" w:hAnsi="Times New Roman" w:cs="Times New Roman"/>
          <w:sz w:val="20"/>
          <w:szCs w:val="20"/>
        </w:rPr>
        <w:t>, but they</w:t>
      </w:r>
      <w:r w:rsidRPr="008A2991">
        <w:rPr>
          <w:rFonts w:ascii="Times New Roman" w:hAnsi="Times New Roman" w:cs="Times New Roman"/>
          <w:sz w:val="20"/>
          <w:szCs w:val="20"/>
        </w:rPr>
        <w:t xml:space="preserve"> may overlap. For example, </w:t>
      </w:r>
      <w:r w:rsidR="00406230" w:rsidRPr="008A2991">
        <w:rPr>
          <w:rFonts w:ascii="Times New Roman" w:hAnsi="Times New Roman" w:cs="Times New Roman"/>
          <w:sz w:val="20"/>
          <w:szCs w:val="20"/>
        </w:rPr>
        <w:t>digital payments</w:t>
      </w:r>
      <w:r w:rsidRPr="008A2991">
        <w:rPr>
          <w:rFonts w:ascii="Times New Roman" w:hAnsi="Times New Roman" w:cs="Times New Roman"/>
          <w:sz w:val="20"/>
          <w:szCs w:val="20"/>
        </w:rPr>
        <w:t xml:space="preserve"> may </w:t>
      </w:r>
      <w:r w:rsidR="00237D8B" w:rsidRPr="008A2991">
        <w:rPr>
          <w:rFonts w:ascii="Times New Roman" w:hAnsi="Times New Roman" w:cs="Times New Roman"/>
          <w:sz w:val="20"/>
          <w:szCs w:val="20"/>
        </w:rPr>
        <w:t>facilitate</w:t>
      </w:r>
      <w:r w:rsidRPr="008A2991">
        <w:rPr>
          <w:rFonts w:ascii="Times New Roman" w:hAnsi="Times New Roman" w:cs="Times New Roman"/>
          <w:sz w:val="20"/>
          <w:szCs w:val="20"/>
        </w:rPr>
        <w:t xml:space="preserve"> mobile payment</w:t>
      </w:r>
      <w:r w:rsidR="00237D8B" w:rsidRPr="008A2991">
        <w:rPr>
          <w:rFonts w:ascii="Times New Roman" w:hAnsi="Times New Roman" w:cs="Times New Roman"/>
          <w:sz w:val="20"/>
          <w:szCs w:val="20"/>
        </w:rPr>
        <w:t>s</w:t>
      </w:r>
      <w:r w:rsidRPr="008A2991">
        <w:rPr>
          <w:rFonts w:ascii="Times New Roman" w:hAnsi="Times New Roman" w:cs="Times New Roman"/>
          <w:sz w:val="20"/>
          <w:szCs w:val="20"/>
        </w:rPr>
        <w:t xml:space="preserve"> and electronic payment</w:t>
      </w:r>
      <w:r w:rsidR="00237D8B" w:rsidRPr="008A2991">
        <w:rPr>
          <w:rFonts w:ascii="Times New Roman" w:hAnsi="Times New Roman" w:cs="Times New Roman"/>
          <w:sz w:val="20"/>
          <w:szCs w:val="20"/>
        </w:rPr>
        <w:t>s,</w:t>
      </w:r>
      <w:r w:rsidRPr="008A2991">
        <w:rPr>
          <w:rFonts w:ascii="Times New Roman" w:hAnsi="Times New Roman" w:cs="Times New Roman"/>
          <w:sz w:val="20"/>
          <w:szCs w:val="20"/>
        </w:rPr>
        <w:t xml:space="preserve"> </w:t>
      </w:r>
      <w:r w:rsidR="00237D8B" w:rsidRPr="008A2991">
        <w:rPr>
          <w:rFonts w:ascii="Times New Roman" w:hAnsi="Times New Roman" w:cs="Times New Roman"/>
          <w:sz w:val="20"/>
          <w:szCs w:val="20"/>
        </w:rPr>
        <w:t>along with</w:t>
      </w:r>
      <w:r w:rsidRPr="008A2991">
        <w:rPr>
          <w:rFonts w:ascii="Times New Roman" w:hAnsi="Times New Roman" w:cs="Times New Roman"/>
          <w:sz w:val="20"/>
          <w:szCs w:val="20"/>
        </w:rPr>
        <w:t xml:space="preserve"> non-cash transactions. These two payment methods allow </w:t>
      </w:r>
      <w:r w:rsidR="00237D8B" w:rsidRPr="008A2991">
        <w:rPr>
          <w:rFonts w:ascii="Times New Roman" w:hAnsi="Times New Roman" w:cs="Times New Roman"/>
          <w:sz w:val="20"/>
          <w:szCs w:val="20"/>
        </w:rPr>
        <w:t>customers</w:t>
      </w:r>
      <w:r w:rsidRPr="008A2991">
        <w:rPr>
          <w:rFonts w:ascii="Times New Roman" w:hAnsi="Times New Roman" w:cs="Times New Roman"/>
          <w:sz w:val="20"/>
          <w:szCs w:val="20"/>
        </w:rPr>
        <w:t xml:space="preserve"> to check</w:t>
      </w:r>
      <w:r w:rsidR="00237D8B" w:rsidRPr="008A2991">
        <w:rPr>
          <w:rFonts w:ascii="Times New Roman" w:hAnsi="Times New Roman" w:cs="Times New Roman"/>
          <w:sz w:val="20"/>
          <w:szCs w:val="20"/>
        </w:rPr>
        <w:t xml:space="preserve"> out anywhere</w:t>
      </w:r>
      <w:r w:rsidRPr="008A2991">
        <w:rPr>
          <w:rFonts w:ascii="Times New Roman" w:hAnsi="Times New Roman" w:cs="Times New Roman"/>
          <w:sz w:val="20"/>
          <w:szCs w:val="20"/>
        </w:rPr>
        <w:t xml:space="preserve"> as long they have their mobile phone. Additionally, such payment methods require users to enter a password, fingerprint, or their face ID to unlock digital payments, which is more secure than swiping cards. Moreover, electronic payments can also be easily transferred to other individuals, thereby saving handling fees and the hassle of entering bank account numbers. The two </w:t>
      </w:r>
      <w:r w:rsidR="004D65E0" w:rsidRPr="008A2991">
        <w:rPr>
          <w:rFonts w:ascii="Times New Roman" w:hAnsi="Times New Roman" w:cs="Times New Roman"/>
          <w:sz w:val="20"/>
          <w:szCs w:val="20"/>
        </w:rPr>
        <w:t xml:space="preserve">forms of </w:t>
      </w:r>
      <w:r w:rsidRPr="008A2991">
        <w:rPr>
          <w:rFonts w:ascii="Times New Roman" w:hAnsi="Times New Roman" w:cs="Times New Roman"/>
          <w:sz w:val="20"/>
          <w:szCs w:val="20"/>
        </w:rPr>
        <w:t xml:space="preserve">digital payments </w:t>
      </w:r>
      <w:r w:rsidR="004D65E0" w:rsidRPr="008A2991">
        <w:rPr>
          <w:rFonts w:ascii="Times New Roman" w:hAnsi="Times New Roman" w:cs="Times New Roman"/>
          <w:sz w:val="20"/>
          <w:szCs w:val="20"/>
        </w:rPr>
        <w:t xml:space="preserve">can be </w:t>
      </w:r>
      <w:r w:rsidRPr="008A2991">
        <w:rPr>
          <w:rFonts w:ascii="Times New Roman" w:hAnsi="Times New Roman" w:cs="Times New Roman"/>
          <w:sz w:val="20"/>
          <w:szCs w:val="20"/>
        </w:rPr>
        <w:t>described as follows:</w:t>
      </w:r>
    </w:p>
    <w:p w14:paraId="66669276" w14:textId="666EF6C6" w:rsidR="008C217A" w:rsidRPr="008A2991" w:rsidRDefault="008C217A" w:rsidP="008C217A">
      <w:pPr>
        <w:spacing w:beforeLines="50" w:before="180" w:afterLines="50" w:after="180"/>
        <w:jc w:val="both"/>
        <w:rPr>
          <w:rFonts w:ascii="Times New Roman" w:hAnsi="Times New Roman" w:cs="Times New Roman"/>
          <w:sz w:val="20"/>
          <w:szCs w:val="20"/>
        </w:rPr>
      </w:pPr>
      <w:r w:rsidRPr="008A2991">
        <w:rPr>
          <w:rFonts w:ascii="Times New Roman" w:hAnsi="Times New Roman" w:cs="Times New Roman"/>
          <w:sz w:val="20"/>
          <w:szCs w:val="20"/>
        </w:rPr>
        <w:t>•</w:t>
      </w:r>
      <w:r w:rsidRPr="008A2991">
        <w:rPr>
          <w:rFonts w:ascii="Times New Roman" w:hAnsi="Times New Roman" w:cs="Times New Roman"/>
          <w:sz w:val="20"/>
          <w:szCs w:val="20"/>
        </w:rPr>
        <w:tab/>
        <w:t>Mobile payment</w:t>
      </w:r>
      <w:r w:rsidR="006E086D" w:rsidRPr="008A2991">
        <w:rPr>
          <w:rFonts w:ascii="Times New Roman" w:hAnsi="Times New Roman" w:cs="Times New Roman"/>
          <w:sz w:val="20"/>
          <w:szCs w:val="20"/>
        </w:rPr>
        <w:t>s</w:t>
      </w:r>
      <w:r w:rsidRPr="008A2991">
        <w:rPr>
          <w:rFonts w:ascii="Times New Roman" w:hAnsi="Times New Roman" w:cs="Times New Roman"/>
          <w:sz w:val="20"/>
          <w:szCs w:val="20"/>
        </w:rPr>
        <w:t xml:space="preserve">: </w:t>
      </w:r>
      <w:r w:rsidR="009E7446" w:rsidRPr="008A2991">
        <w:rPr>
          <w:rFonts w:ascii="Times New Roman" w:hAnsi="Times New Roman" w:cs="Times New Roman"/>
          <w:sz w:val="20"/>
          <w:szCs w:val="20"/>
        </w:rPr>
        <w:t>These include</w:t>
      </w:r>
      <w:r w:rsidRPr="008A2991">
        <w:rPr>
          <w:rFonts w:ascii="Times New Roman" w:hAnsi="Times New Roman" w:cs="Times New Roman"/>
          <w:sz w:val="20"/>
          <w:szCs w:val="20"/>
        </w:rPr>
        <w:t xml:space="preserve"> methods</w:t>
      </w:r>
      <w:r w:rsidR="009E7446" w:rsidRPr="008A2991">
        <w:rPr>
          <w:rFonts w:ascii="Times New Roman" w:hAnsi="Times New Roman" w:cs="Times New Roman"/>
          <w:sz w:val="20"/>
          <w:szCs w:val="20"/>
        </w:rPr>
        <w:t xml:space="preserve"> </w:t>
      </w:r>
      <w:r w:rsidR="004D65E0" w:rsidRPr="008A2991">
        <w:rPr>
          <w:rFonts w:ascii="Times New Roman" w:hAnsi="Times New Roman" w:cs="Times New Roman"/>
          <w:sz w:val="20"/>
          <w:szCs w:val="20"/>
        </w:rPr>
        <w:t xml:space="preserve">such as </w:t>
      </w:r>
      <w:r w:rsidRPr="008A2991">
        <w:rPr>
          <w:rFonts w:ascii="Times New Roman" w:hAnsi="Times New Roman" w:cs="Times New Roman"/>
          <w:sz w:val="20"/>
          <w:szCs w:val="20"/>
        </w:rPr>
        <w:t>Apple Pay, Line Pay, and street payments</w:t>
      </w:r>
      <w:r w:rsidR="009E7446"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9E7446" w:rsidRPr="008A2991">
        <w:rPr>
          <w:rFonts w:ascii="Times New Roman" w:hAnsi="Times New Roman" w:cs="Times New Roman"/>
          <w:sz w:val="20"/>
          <w:szCs w:val="20"/>
        </w:rPr>
        <w:t xml:space="preserve">and they </w:t>
      </w:r>
      <w:r w:rsidRPr="008A2991">
        <w:rPr>
          <w:rFonts w:ascii="Times New Roman" w:hAnsi="Times New Roman" w:cs="Times New Roman"/>
          <w:sz w:val="20"/>
          <w:szCs w:val="20"/>
        </w:rPr>
        <w:t xml:space="preserve">involve the use of a mobile device to employ a credit card as a payment </w:t>
      </w:r>
      <w:r w:rsidR="004D65E0" w:rsidRPr="008A2991">
        <w:rPr>
          <w:rFonts w:ascii="Times New Roman" w:hAnsi="Times New Roman" w:cs="Times New Roman"/>
          <w:sz w:val="20"/>
          <w:szCs w:val="20"/>
        </w:rPr>
        <w:t>means</w:t>
      </w:r>
      <w:r w:rsidRPr="008A2991">
        <w:rPr>
          <w:rFonts w:ascii="Times New Roman" w:hAnsi="Times New Roman" w:cs="Times New Roman"/>
          <w:sz w:val="20"/>
          <w:szCs w:val="20"/>
        </w:rPr>
        <w:t>.</w:t>
      </w:r>
    </w:p>
    <w:p w14:paraId="0F2152E0" w14:textId="7244AC6B" w:rsidR="00AB1482" w:rsidRPr="008A2991" w:rsidRDefault="008C217A" w:rsidP="008C217A">
      <w:pPr>
        <w:spacing w:beforeLines="50" w:before="180" w:afterLines="50" w:after="180"/>
        <w:jc w:val="both"/>
        <w:rPr>
          <w:rFonts w:ascii="Times New Roman" w:hAnsi="Times New Roman" w:cs="Times New Roman"/>
          <w:sz w:val="20"/>
          <w:szCs w:val="20"/>
        </w:rPr>
      </w:pPr>
      <w:r w:rsidRPr="008A2991">
        <w:rPr>
          <w:rFonts w:ascii="Times New Roman" w:hAnsi="Times New Roman" w:cs="Times New Roman"/>
          <w:sz w:val="20"/>
          <w:szCs w:val="20"/>
        </w:rPr>
        <w:t>•</w:t>
      </w:r>
      <w:r w:rsidRPr="008A2991">
        <w:rPr>
          <w:rFonts w:ascii="Times New Roman" w:hAnsi="Times New Roman" w:cs="Times New Roman"/>
          <w:sz w:val="20"/>
          <w:szCs w:val="20"/>
        </w:rPr>
        <w:tab/>
        <w:t xml:space="preserve">Electronic payment: This involves the use of an independent electronic payment account for transactions or transfers. At present, Taiwan has nine specialized electronic payment institutions (e.g., JKO Pay </w:t>
      </w:r>
      <w:r w:rsidR="004D65E0" w:rsidRPr="008A2991">
        <w:rPr>
          <w:rFonts w:ascii="Times New Roman" w:hAnsi="Times New Roman" w:cs="Times New Roman"/>
          <w:sz w:val="20"/>
          <w:szCs w:val="20"/>
        </w:rPr>
        <w:t>[</w:t>
      </w:r>
      <w:r w:rsidRPr="008A2991">
        <w:rPr>
          <w:rFonts w:ascii="Times New Roman" w:hAnsi="Times New Roman" w:cs="Times New Roman"/>
          <w:sz w:val="20"/>
          <w:szCs w:val="20"/>
        </w:rPr>
        <w:t>Jiekou Financial Technology Co., Ltd.</w:t>
      </w:r>
      <w:r w:rsidR="004D65E0"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3C5272" w:rsidRPr="008A2991">
        <w:rPr>
          <w:rFonts w:ascii="Times New Roman" w:hAnsi="Times New Roman" w:cs="Times New Roman"/>
          <w:sz w:val="20"/>
          <w:szCs w:val="20"/>
        </w:rPr>
        <w:t>and</w:t>
      </w:r>
      <w:r w:rsidRPr="008A2991">
        <w:rPr>
          <w:rFonts w:ascii="Times New Roman" w:hAnsi="Times New Roman" w:cs="Times New Roman"/>
          <w:sz w:val="20"/>
          <w:szCs w:val="20"/>
        </w:rPr>
        <w:t xml:space="preserve"> Pi Pay </w:t>
      </w:r>
      <w:r w:rsidR="004D65E0" w:rsidRPr="008A2991">
        <w:rPr>
          <w:rFonts w:ascii="Times New Roman" w:hAnsi="Times New Roman" w:cs="Times New Roman"/>
          <w:sz w:val="20"/>
          <w:szCs w:val="20"/>
        </w:rPr>
        <w:t>[</w:t>
      </w:r>
      <w:r w:rsidRPr="008A2991">
        <w:rPr>
          <w:rFonts w:ascii="Times New Roman" w:hAnsi="Times New Roman" w:cs="Times New Roman"/>
          <w:sz w:val="20"/>
          <w:szCs w:val="20"/>
        </w:rPr>
        <w:t>Chunghwa Telecom Co., Ltd.</w:t>
      </w:r>
      <w:r w:rsidR="004D65E0" w:rsidRPr="008A2991">
        <w:rPr>
          <w:rFonts w:ascii="Times New Roman" w:hAnsi="Times New Roman" w:cs="Times New Roman"/>
          <w:sz w:val="20"/>
          <w:szCs w:val="20"/>
        </w:rPr>
        <w:t>]</w:t>
      </w:r>
      <w:r w:rsidRPr="008A2991">
        <w:rPr>
          <w:rFonts w:ascii="Times New Roman" w:hAnsi="Times New Roman" w:cs="Times New Roman"/>
          <w:sz w:val="20"/>
          <w:szCs w:val="20"/>
        </w:rPr>
        <w:t xml:space="preserve">) and 20 concurrently operating electronic payment institutions (e.g., First Bank, Cathay Pacific Bank). </w:t>
      </w:r>
      <w:r w:rsidR="00AF1553" w:rsidRPr="008A2991">
        <w:rPr>
          <w:rFonts w:ascii="Times New Roman" w:hAnsi="Times New Roman" w:cs="Times New Roman"/>
          <w:sz w:val="20"/>
          <w:szCs w:val="20"/>
        </w:rPr>
        <w:t>All</w:t>
      </w:r>
      <w:r w:rsidRPr="008A2991">
        <w:rPr>
          <w:rFonts w:ascii="Times New Roman" w:hAnsi="Times New Roman" w:cs="Times New Roman"/>
          <w:sz w:val="20"/>
          <w:szCs w:val="20"/>
        </w:rPr>
        <w:t xml:space="preserve"> the above payment systems require a digital account or a credit card to conduct transactions</w:t>
      </w:r>
      <w:r w:rsidR="00AB1482" w:rsidRPr="008A2991">
        <w:rPr>
          <w:rFonts w:ascii="Times New Roman" w:hAnsi="Times New Roman" w:cs="Times New Roman"/>
          <w:sz w:val="20"/>
          <w:szCs w:val="20"/>
        </w:rPr>
        <w:t>.</w:t>
      </w:r>
    </w:p>
    <w:p w14:paraId="14B1B2B0" w14:textId="6E599633" w:rsidR="00564900" w:rsidRPr="008A2991" w:rsidRDefault="008C217A" w:rsidP="008B60ED">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Sha and Mohammed</w:t>
      </w:r>
      <w:r w:rsidR="00173D21" w:rsidRPr="008A2991">
        <w:rPr>
          <w:rFonts w:ascii="Times New Roman" w:hAnsi="Times New Roman" w:cs="Times New Roman"/>
          <w:sz w:val="20"/>
          <w:szCs w:val="20"/>
        </w:rPr>
        <w:t xml:space="preserve"> (2017)</w:t>
      </w:r>
      <w:r w:rsidRPr="008A2991">
        <w:rPr>
          <w:rFonts w:ascii="Times New Roman" w:hAnsi="Times New Roman" w:cs="Times New Roman"/>
          <w:sz w:val="20"/>
          <w:szCs w:val="20"/>
        </w:rPr>
        <w:t xml:space="preserve"> recently searched for banking services to develop more advanced applications in pure digital banking (also known as virtual banking and pure internet banking).</w:t>
      </w:r>
      <w:r w:rsidR="0054647D" w:rsidRPr="008A2991">
        <w:rPr>
          <w:sz w:val="22"/>
          <w:szCs w:val="20"/>
        </w:rPr>
        <w:t xml:space="preserve"> </w:t>
      </w:r>
      <w:r w:rsidR="0054647D" w:rsidRPr="008A2991">
        <w:rPr>
          <w:rFonts w:ascii="Times New Roman" w:hAnsi="Times New Roman" w:cs="Times New Roman"/>
          <w:sz w:val="20"/>
          <w:szCs w:val="20"/>
        </w:rPr>
        <w:t xml:space="preserve">The research </w:t>
      </w:r>
      <w:r w:rsidR="004D65E0" w:rsidRPr="008A2991">
        <w:rPr>
          <w:rFonts w:ascii="Times New Roman" w:hAnsi="Times New Roman" w:cs="Times New Roman"/>
          <w:sz w:val="20"/>
          <w:szCs w:val="20"/>
        </w:rPr>
        <w:t xml:space="preserve">indicates </w:t>
      </w:r>
      <w:r w:rsidR="0054647D" w:rsidRPr="008A2991">
        <w:rPr>
          <w:rFonts w:ascii="Times New Roman" w:hAnsi="Times New Roman" w:cs="Times New Roman"/>
          <w:sz w:val="20"/>
          <w:szCs w:val="20"/>
        </w:rPr>
        <w:t xml:space="preserve">that pure digital banking </w:t>
      </w:r>
      <w:r w:rsidR="009556C7" w:rsidRPr="008A2991">
        <w:rPr>
          <w:rFonts w:ascii="Times New Roman" w:hAnsi="Times New Roman" w:cs="Times New Roman"/>
          <w:sz w:val="20"/>
          <w:szCs w:val="20"/>
        </w:rPr>
        <w:t>does not have any</w:t>
      </w:r>
      <w:r w:rsidR="0054647D" w:rsidRPr="008A2991">
        <w:rPr>
          <w:rFonts w:ascii="Times New Roman" w:hAnsi="Times New Roman" w:cs="Times New Roman"/>
          <w:sz w:val="20"/>
          <w:szCs w:val="20"/>
        </w:rPr>
        <w:t xml:space="preserve"> physical banks offering a wider variety of service</w:t>
      </w:r>
      <w:r w:rsidR="009556C7" w:rsidRPr="008A2991">
        <w:rPr>
          <w:rFonts w:ascii="Times New Roman" w:hAnsi="Times New Roman" w:cs="Times New Roman"/>
          <w:sz w:val="20"/>
          <w:szCs w:val="20"/>
        </w:rPr>
        <w:t>s</w:t>
      </w:r>
      <w:r w:rsidR="004D65E0" w:rsidRPr="008A2991">
        <w:rPr>
          <w:rFonts w:ascii="Times New Roman" w:hAnsi="Times New Roman" w:cs="Times New Roman"/>
          <w:sz w:val="20"/>
          <w:szCs w:val="20"/>
        </w:rPr>
        <w:t>,</w:t>
      </w:r>
      <w:r w:rsidR="0054647D" w:rsidRPr="008A2991">
        <w:rPr>
          <w:rFonts w:ascii="Times New Roman" w:hAnsi="Times New Roman" w:cs="Times New Roman"/>
          <w:sz w:val="20"/>
          <w:szCs w:val="20"/>
        </w:rPr>
        <w:t xml:space="preserve"> such as more flexible savings and investments </w:t>
      </w:r>
      <w:r w:rsidR="004D65E0" w:rsidRPr="008A2991">
        <w:rPr>
          <w:rFonts w:ascii="Times New Roman" w:hAnsi="Times New Roman" w:cs="Times New Roman"/>
          <w:sz w:val="20"/>
          <w:szCs w:val="20"/>
        </w:rPr>
        <w:t xml:space="preserve">or </w:t>
      </w:r>
      <w:r w:rsidR="0054647D" w:rsidRPr="008A2991">
        <w:rPr>
          <w:rFonts w:ascii="Times New Roman" w:hAnsi="Times New Roman" w:cs="Times New Roman"/>
          <w:sz w:val="20"/>
          <w:szCs w:val="20"/>
        </w:rPr>
        <w:t xml:space="preserve">virtual credit cards. </w:t>
      </w:r>
      <w:r w:rsidR="00EC7D38" w:rsidRPr="008A2991">
        <w:rPr>
          <w:rFonts w:ascii="Times New Roman" w:hAnsi="Times New Roman" w:cs="Times New Roman"/>
          <w:sz w:val="20"/>
          <w:szCs w:val="20"/>
        </w:rPr>
        <w:t>O</w:t>
      </w:r>
      <w:r w:rsidR="0054647D" w:rsidRPr="008A2991">
        <w:rPr>
          <w:rFonts w:ascii="Times New Roman" w:hAnsi="Times New Roman" w:cs="Times New Roman"/>
          <w:sz w:val="20"/>
          <w:szCs w:val="20"/>
        </w:rPr>
        <w:t>nline banking refers to undertaking various banking services</w:t>
      </w:r>
      <w:r w:rsidR="00EC7D38" w:rsidRPr="008A2991">
        <w:rPr>
          <w:rFonts w:ascii="Times New Roman" w:hAnsi="Times New Roman" w:cs="Times New Roman"/>
          <w:sz w:val="20"/>
          <w:szCs w:val="20"/>
        </w:rPr>
        <w:t xml:space="preserve"> (</w:t>
      </w:r>
      <w:r w:rsidR="004D65E0" w:rsidRPr="008A2991">
        <w:rPr>
          <w:rFonts w:ascii="Times New Roman" w:hAnsi="Times New Roman" w:cs="Times New Roman"/>
          <w:sz w:val="20"/>
          <w:szCs w:val="20"/>
        </w:rPr>
        <w:t xml:space="preserve">e.g., </w:t>
      </w:r>
      <w:r w:rsidR="00EC7D38" w:rsidRPr="008A2991">
        <w:rPr>
          <w:rFonts w:ascii="Times New Roman" w:hAnsi="Times New Roman" w:cs="Times New Roman"/>
          <w:sz w:val="20"/>
          <w:szCs w:val="20"/>
        </w:rPr>
        <w:t>bill payments and investments)</w:t>
      </w:r>
      <w:r w:rsidR="0054647D" w:rsidRPr="008A2991">
        <w:rPr>
          <w:rFonts w:ascii="Times New Roman" w:hAnsi="Times New Roman" w:cs="Times New Roman"/>
          <w:sz w:val="20"/>
          <w:szCs w:val="20"/>
        </w:rPr>
        <w:t xml:space="preserve"> through an online platform</w:t>
      </w:r>
      <w:r w:rsidR="00EC7D38" w:rsidRPr="008A2991">
        <w:rPr>
          <w:rFonts w:ascii="Times New Roman" w:hAnsi="Times New Roman" w:cs="Times New Roman"/>
          <w:sz w:val="20"/>
          <w:szCs w:val="20"/>
        </w:rPr>
        <w:t>.</w:t>
      </w:r>
      <w:r w:rsidR="0054647D" w:rsidRPr="008A2991">
        <w:rPr>
          <w:rFonts w:ascii="Times New Roman" w:hAnsi="Times New Roman" w:cs="Times New Roman"/>
          <w:sz w:val="20"/>
          <w:szCs w:val="20"/>
        </w:rPr>
        <w:t xml:space="preserve"> </w:t>
      </w:r>
      <w:r w:rsidR="00EC7D38" w:rsidRPr="008A2991">
        <w:rPr>
          <w:rFonts w:ascii="Times New Roman" w:hAnsi="Times New Roman" w:cs="Times New Roman"/>
          <w:sz w:val="20"/>
          <w:szCs w:val="20"/>
        </w:rPr>
        <w:t>It</w:t>
      </w:r>
      <w:r w:rsidR="0054647D" w:rsidRPr="008A2991">
        <w:rPr>
          <w:rFonts w:ascii="Times New Roman" w:hAnsi="Times New Roman" w:cs="Times New Roman"/>
          <w:sz w:val="20"/>
          <w:szCs w:val="20"/>
        </w:rPr>
        <w:t xml:space="preserve"> benefits customers and enables banks to improve</w:t>
      </w:r>
      <w:r w:rsidR="00EC7D38" w:rsidRPr="008A2991">
        <w:rPr>
          <w:rFonts w:ascii="Times New Roman" w:hAnsi="Times New Roman" w:cs="Times New Roman"/>
          <w:sz w:val="20"/>
          <w:szCs w:val="20"/>
        </w:rPr>
        <w:t xml:space="preserve"> their</w:t>
      </w:r>
      <w:r w:rsidR="0054647D" w:rsidRPr="008A2991">
        <w:rPr>
          <w:rFonts w:ascii="Times New Roman" w:hAnsi="Times New Roman" w:cs="Times New Roman"/>
          <w:sz w:val="20"/>
          <w:szCs w:val="20"/>
        </w:rPr>
        <w:t xml:space="preserve"> delivery of financial products and reduce </w:t>
      </w:r>
      <w:r w:rsidR="0054647D" w:rsidRPr="008A2991">
        <w:rPr>
          <w:rFonts w:ascii="Times New Roman" w:hAnsi="Times New Roman" w:cs="Times New Roman"/>
          <w:sz w:val="20"/>
          <w:szCs w:val="20"/>
        </w:rPr>
        <w:lastRenderedPageBreak/>
        <w:t xml:space="preserve">transactional costs, increasing their profitability, saving </w:t>
      </w:r>
      <w:r w:rsidR="00173D21" w:rsidRPr="008A2991">
        <w:rPr>
          <w:rFonts w:ascii="Times New Roman" w:hAnsi="Times New Roman" w:cs="Times New Roman"/>
          <w:sz w:val="20"/>
          <w:szCs w:val="20"/>
        </w:rPr>
        <w:t>costs,</w:t>
      </w:r>
      <w:r w:rsidR="0054647D" w:rsidRPr="008A2991">
        <w:rPr>
          <w:rFonts w:ascii="Times New Roman" w:hAnsi="Times New Roman" w:cs="Times New Roman"/>
          <w:sz w:val="20"/>
          <w:szCs w:val="20"/>
        </w:rPr>
        <w:t xml:space="preserve"> and providing better overall service to their customers (Dash</w:t>
      </w:r>
      <w:r w:rsidR="004D65E0" w:rsidRPr="008A2991">
        <w:rPr>
          <w:rFonts w:ascii="Times New Roman" w:hAnsi="Times New Roman" w:cs="Times New Roman"/>
          <w:sz w:val="20"/>
          <w:szCs w:val="20"/>
        </w:rPr>
        <w:t xml:space="preserve"> et al., </w:t>
      </w:r>
      <w:r w:rsidR="0054647D" w:rsidRPr="008A2991">
        <w:rPr>
          <w:rFonts w:ascii="Times New Roman" w:hAnsi="Times New Roman" w:cs="Times New Roman"/>
          <w:sz w:val="20"/>
          <w:szCs w:val="20"/>
        </w:rPr>
        <w:t>2011).</w:t>
      </w:r>
    </w:p>
    <w:p w14:paraId="3CF7FA5F" w14:textId="182FB699"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 Unlike other technology-enabled banking services, digital-only banking is branchless, with no physical banks offering a wider variety of services yet. Consequently, the new banking service provides easier and faster banking and accomplishes some </w:t>
      </w:r>
      <w:r w:rsidR="001E0A4F" w:rsidRPr="008A2991">
        <w:rPr>
          <w:rFonts w:ascii="Times New Roman" w:hAnsi="Times New Roman" w:cs="Times New Roman"/>
          <w:sz w:val="20"/>
          <w:szCs w:val="20"/>
        </w:rPr>
        <w:t xml:space="preserve">of the </w:t>
      </w:r>
      <w:r w:rsidRPr="008A2991">
        <w:rPr>
          <w:rFonts w:ascii="Times New Roman" w:hAnsi="Times New Roman" w:cs="Times New Roman"/>
          <w:sz w:val="20"/>
          <w:szCs w:val="20"/>
        </w:rPr>
        <w:t>tasks of a physical wallet, such as holding personal information, facilitating cash and credit card payments, and storing temporary tokens (</w:t>
      </w:r>
      <w:r w:rsidR="005A659F" w:rsidRPr="008A2991">
        <w:rPr>
          <w:rFonts w:ascii="Times New Roman" w:hAnsi="Times New Roman" w:cs="Times New Roman"/>
          <w:sz w:val="20"/>
          <w:szCs w:val="20"/>
        </w:rPr>
        <w:t xml:space="preserve">e.g., </w:t>
      </w:r>
      <w:r w:rsidRPr="008A2991">
        <w:rPr>
          <w:rFonts w:ascii="Times New Roman" w:hAnsi="Times New Roman" w:cs="Times New Roman"/>
          <w:sz w:val="20"/>
          <w:szCs w:val="20"/>
        </w:rPr>
        <w:t>vouchers or transportation tickets) (Ebringer</w:t>
      </w:r>
      <w:r w:rsidR="005A659F" w:rsidRPr="008A2991">
        <w:rPr>
          <w:rFonts w:ascii="Times New Roman" w:hAnsi="Times New Roman" w:cs="Times New Roman"/>
          <w:sz w:val="20"/>
          <w:szCs w:val="20"/>
        </w:rPr>
        <w:t xml:space="preserve"> et al.</w:t>
      </w:r>
      <w:r w:rsidRPr="008A2991">
        <w:rPr>
          <w:rFonts w:ascii="Times New Roman" w:hAnsi="Times New Roman" w:cs="Times New Roman"/>
          <w:sz w:val="20"/>
          <w:szCs w:val="20"/>
        </w:rPr>
        <w:t xml:space="preserve">, 2000). </w:t>
      </w:r>
    </w:p>
    <w:p w14:paraId="104CD566" w14:textId="60094510"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Furthermore, digital banking is an operating model based on the use of a technology platform to exchange information and conduct </w:t>
      </w:r>
      <w:bookmarkStart w:id="0" w:name="_Hlk131412476"/>
      <w:r w:rsidRPr="008A2991">
        <w:rPr>
          <w:rFonts w:ascii="Times New Roman" w:hAnsi="Times New Roman" w:cs="Times New Roman"/>
          <w:sz w:val="20"/>
          <w:szCs w:val="20"/>
        </w:rPr>
        <w:t>bank</w:t>
      </w:r>
      <w:r w:rsidR="005A659F" w:rsidRPr="008A2991">
        <w:rPr>
          <w:rFonts w:ascii="Times New Roman" w:hAnsi="Times New Roman" w:cs="Times New Roman"/>
          <w:sz w:val="20"/>
          <w:szCs w:val="20"/>
        </w:rPr>
        <w:t>–</w:t>
      </w:r>
      <w:r w:rsidRPr="008A2991">
        <w:rPr>
          <w:rFonts w:ascii="Times New Roman" w:hAnsi="Times New Roman" w:cs="Times New Roman"/>
          <w:sz w:val="20"/>
          <w:szCs w:val="20"/>
        </w:rPr>
        <w:t>customer transactions</w:t>
      </w:r>
      <w:bookmarkEnd w:id="0"/>
      <w:r w:rsidRPr="008A2991">
        <w:rPr>
          <w:rFonts w:ascii="Times New Roman" w:hAnsi="Times New Roman" w:cs="Times New Roman"/>
          <w:sz w:val="20"/>
          <w:szCs w:val="20"/>
        </w:rPr>
        <w:t xml:space="preserve">. This process is conducted via digital devices that connect to computer software in the internet environment. Customers do not have to visit physical branches of banks to conduct transactions and vice versa, i.e., bank personnel do not have to meet with customers to complete transactions (e.g., signing documents and tracking records). Hence, digital banking has emerged as a new way to </w:t>
      </w:r>
      <w:r w:rsidR="0081561B" w:rsidRPr="008A2991">
        <w:rPr>
          <w:rFonts w:ascii="Times New Roman" w:hAnsi="Times New Roman" w:cs="Times New Roman"/>
          <w:sz w:val="20"/>
          <w:szCs w:val="20"/>
        </w:rPr>
        <w:t>offer similar services</w:t>
      </w:r>
      <w:r w:rsidR="005A659F" w:rsidRPr="008A2991">
        <w:rPr>
          <w:rFonts w:ascii="Times New Roman" w:hAnsi="Times New Roman" w:cs="Times New Roman"/>
          <w:sz w:val="20"/>
          <w:szCs w:val="20"/>
        </w:rPr>
        <w:t>,</w:t>
      </w:r>
      <w:r w:rsidR="0081561B" w:rsidRPr="008A2991">
        <w:rPr>
          <w:rFonts w:ascii="Times New Roman" w:hAnsi="Times New Roman" w:cs="Times New Roman"/>
          <w:sz w:val="20"/>
          <w:szCs w:val="20"/>
        </w:rPr>
        <w:t xml:space="preserve"> including</w:t>
      </w:r>
      <w:r w:rsidRPr="008A2991">
        <w:rPr>
          <w:rFonts w:ascii="Times New Roman" w:hAnsi="Times New Roman" w:cs="Times New Roman"/>
          <w:sz w:val="20"/>
          <w:szCs w:val="20"/>
        </w:rPr>
        <w:t xml:space="preserve"> money deposits, transfers, cash withdrawals, current and savings account management, loan management, bill payments, applying for financial products, and account services (Don, 2016). </w:t>
      </w:r>
    </w:p>
    <w:p w14:paraId="6EA35716" w14:textId="75C73CD1" w:rsidR="008C217A" w:rsidRPr="008A2991" w:rsidRDefault="008C217A" w:rsidP="00186F56">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Digital banking has also led to the creation of new service models, such as mobile payment application software, thereby making digital payments more convenient. An example of a digital banking service is the mobile banking app</w:t>
      </w:r>
      <w:r w:rsidR="005A659F" w:rsidRPr="008A2991">
        <w:rPr>
          <w:rFonts w:ascii="Times New Roman" w:hAnsi="Times New Roman" w:cs="Times New Roman"/>
          <w:sz w:val="20"/>
          <w:szCs w:val="20"/>
        </w:rPr>
        <w:t>,</w:t>
      </w:r>
      <w:r w:rsidRPr="008A2991">
        <w:rPr>
          <w:rFonts w:ascii="Times New Roman" w:hAnsi="Times New Roman" w:cs="Times New Roman"/>
          <w:sz w:val="20"/>
          <w:szCs w:val="20"/>
        </w:rPr>
        <w:t xml:space="preserve"> Taiwan Pay, which can be linked to a financial card, a credit card, or digital accounts. </w:t>
      </w:r>
      <w:r w:rsidR="005A659F" w:rsidRPr="008A2991">
        <w:rPr>
          <w:rFonts w:ascii="Times New Roman" w:hAnsi="Times New Roman" w:cs="Times New Roman"/>
          <w:sz w:val="20"/>
          <w:szCs w:val="20"/>
        </w:rPr>
        <w:t>As such</w:t>
      </w:r>
      <w:r w:rsidRPr="008A2991">
        <w:rPr>
          <w:rFonts w:ascii="Times New Roman" w:hAnsi="Times New Roman" w:cs="Times New Roman"/>
          <w:sz w:val="20"/>
          <w:szCs w:val="20"/>
        </w:rPr>
        <w:t xml:space="preserve">, consumers do not need cash or credit cards. In contrast to traditional banking activities, digital banking provides more features and functionalities at a lower cost (Fenu </w:t>
      </w:r>
      <w:r w:rsidR="001753AB" w:rsidRPr="008A2991">
        <w:rPr>
          <w:rFonts w:ascii="Times New Roman" w:hAnsi="Times New Roman" w:cs="Times New Roman"/>
          <w:sz w:val="20"/>
          <w:szCs w:val="20"/>
        </w:rPr>
        <w:t>&amp;</w:t>
      </w:r>
      <w:r w:rsidRPr="008A2991">
        <w:rPr>
          <w:rFonts w:ascii="Times New Roman" w:hAnsi="Times New Roman" w:cs="Times New Roman"/>
          <w:sz w:val="20"/>
          <w:szCs w:val="20"/>
        </w:rPr>
        <w:t xml:space="preserve"> Pau, 2015; </w:t>
      </w:r>
      <w:r w:rsidR="005A659F" w:rsidRPr="008A2991">
        <w:rPr>
          <w:rFonts w:ascii="Times New Roman" w:hAnsi="Times New Roman" w:cs="Times New Roman"/>
          <w:sz w:val="20"/>
          <w:szCs w:val="20"/>
        </w:rPr>
        <w:t xml:space="preserve">Munoz-Leiva et al., 2017; </w:t>
      </w:r>
      <w:r w:rsidRPr="008A2991">
        <w:rPr>
          <w:rFonts w:ascii="Times New Roman" w:hAnsi="Times New Roman" w:cs="Times New Roman"/>
          <w:sz w:val="20"/>
          <w:szCs w:val="20"/>
        </w:rPr>
        <w:t>Sampaio</w:t>
      </w:r>
      <w:r w:rsidR="005A659F" w:rsidRPr="008A2991">
        <w:rPr>
          <w:rFonts w:ascii="Times New Roman" w:hAnsi="Times New Roman" w:cs="Times New Roman"/>
          <w:sz w:val="20"/>
          <w:szCs w:val="20"/>
        </w:rPr>
        <w:t xml:space="preserve"> et al.</w:t>
      </w:r>
      <w:r w:rsidRPr="008A2991">
        <w:rPr>
          <w:rFonts w:ascii="Times New Roman" w:hAnsi="Times New Roman" w:cs="Times New Roman"/>
          <w:sz w:val="20"/>
          <w:szCs w:val="20"/>
        </w:rPr>
        <w:t>, 2017). Moreover, the practical implementation of digital banking reduces operating costs by about 20–25%, thus increasing the competitive edge of banks (</w:t>
      </w:r>
      <w:r w:rsidR="00186F56" w:rsidRPr="008A2991">
        <w:rPr>
          <w:rFonts w:ascii="Times New Roman" w:hAnsi="Times New Roman" w:cs="Times New Roman"/>
          <w:sz w:val="20"/>
          <w:szCs w:val="20"/>
        </w:rPr>
        <w:t>Hussain</w:t>
      </w:r>
      <w:r w:rsidR="005A659F" w:rsidRPr="008A2991">
        <w:rPr>
          <w:rFonts w:ascii="Times New Roman" w:hAnsi="Times New Roman" w:cs="Times New Roman"/>
          <w:sz w:val="20"/>
          <w:szCs w:val="20"/>
        </w:rPr>
        <w:t xml:space="preserve"> et al.</w:t>
      </w:r>
      <w:r w:rsidRPr="008A2991">
        <w:rPr>
          <w:rFonts w:ascii="Times New Roman" w:hAnsi="Times New Roman" w:cs="Times New Roman"/>
          <w:sz w:val="20"/>
          <w:szCs w:val="20"/>
        </w:rPr>
        <w:t>, 2018).</w:t>
      </w:r>
    </w:p>
    <w:p w14:paraId="0B50C734" w14:textId="462E42B2" w:rsidR="008C217A" w:rsidRPr="008A2991" w:rsidRDefault="008C217A"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In contrast, most traditional banks provide digital services, and the government </w:t>
      </w:r>
      <w:r w:rsidR="005A659F" w:rsidRPr="008A2991">
        <w:rPr>
          <w:rFonts w:ascii="Times New Roman" w:hAnsi="Times New Roman" w:cs="Times New Roman"/>
          <w:sz w:val="20"/>
          <w:szCs w:val="20"/>
        </w:rPr>
        <w:t>has encouraged</w:t>
      </w:r>
      <w:r w:rsidRPr="008A2991">
        <w:rPr>
          <w:rFonts w:ascii="Times New Roman" w:hAnsi="Times New Roman" w:cs="Times New Roman"/>
          <w:sz w:val="20"/>
          <w:szCs w:val="20"/>
        </w:rPr>
        <w:t xml:space="preserve"> people to use cashless payments in their everyday life, particularly during the pandemic when the demand for avoiding physical encounters </w:t>
      </w:r>
      <w:r w:rsidR="007B0EC9" w:rsidRPr="008A2991">
        <w:rPr>
          <w:rFonts w:ascii="Times New Roman" w:hAnsi="Times New Roman" w:cs="Times New Roman"/>
          <w:sz w:val="20"/>
          <w:szCs w:val="20"/>
        </w:rPr>
        <w:t>got</w:t>
      </w:r>
      <w:r w:rsidRPr="008A2991">
        <w:rPr>
          <w:rFonts w:ascii="Times New Roman" w:hAnsi="Times New Roman" w:cs="Times New Roman"/>
          <w:sz w:val="20"/>
          <w:szCs w:val="20"/>
        </w:rPr>
        <w:t xml:space="preserve"> higher. </w:t>
      </w:r>
      <w:r w:rsidR="005A659F" w:rsidRPr="008A2991">
        <w:rPr>
          <w:rFonts w:ascii="Times New Roman" w:hAnsi="Times New Roman" w:cs="Times New Roman"/>
          <w:sz w:val="20"/>
          <w:szCs w:val="20"/>
        </w:rPr>
        <w:t>As such</w:t>
      </w:r>
      <w:r w:rsidRPr="008A2991">
        <w:rPr>
          <w:rFonts w:ascii="Times New Roman" w:hAnsi="Times New Roman" w:cs="Times New Roman"/>
          <w:sz w:val="20"/>
          <w:szCs w:val="20"/>
        </w:rPr>
        <w:t xml:space="preserve">, the government </w:t>
      </w:r>
      <w:r w:rsidR="0029743E" w:rsidRPr="008A2991">
        <w:rPr>
          <w:rFonts w:ascii="Times New Roman" w:hAnsi="Times New Roman" w:cs="Times New Roman"/>
          <w:sz w:val="20"/>
          <w:szCs w:val="20"/>
        </w:rPr>
        <w:t>had to speed</w:t>
      </w:r>
      <w:r w:rsidRPr="008A2991">
        <w:rPr>
          <w:rFonts w:ascii="Times New Roman" w:hAnsi="Times New Roman" w:cs="Times New Roman"/>
          <w:sz w:val="20"/>
          <w:szCs w:val="20"/>
        </w:rPr>
        <w:t xml:space="preserve"> up the promotion of digital banking and </w:t>
      </w:r>
      <w:r w:rsidR="0029743E" w:rsidRPr="008A2991">
        <w:rPr>
          <w:rFonts w:ascii="Times New Roman" w:hAnsi="Times New Roman" w:cs="Times New Roman"/>
          <w:sz w:val="20"/>
          <w:szCs w:val="20"/>
        </w:rPr>
        <w:t>work toward</w:t>
      </w:r>
      <w:r w:rsidR="005A659F" w:rsidRPr="008A2991">
        <w:rPr>
          <w:rFonts w:ascii="Times New Roman" w:hAnsi="Times New Roman" w:cs="Times New Roman"/>
          <w:sz w:val="20"/>
          <w:szCs w:val="20"/>
        </w:rPr>
        <w:t>s</w:t>
      </w:r>
      <w:r w:rsidR="0029743E" w:rsidRPr="008A2991">
        <w:rPr>
          <w:rFonts w:ascii="Times New Roman" w:hAnsi="Times New Roman" w:cs="Times New Roman"/>
          <w:sz w:val="20"/>
          <w:szCs w:val="20"/>
        </w:rPr>
        <w:t xml:space="preserve"> </w:t>
      </w:r>
      <w:r w:rsidRPr="008A2991">
        <w:rPr>
          <w:rFonts w:ascii="Times New Roman" w:hAnsi="Times New Roman" w:cs="Times New Roman"/>
          <w:sz w:val="20"/>
          <w:szCs w:val="20"/>
        </w:rPr>
        <w:t>increas</w:t>
      </w:r>
      <w:r w:rsidR="0029743E" w:rsidRPr="008A2991">
        <w:rPr>
          <w:rFonts w:ascii="Times New Roman" w:hAnsi="Times New Roman" w:cs="Times New Roman"/>
          <w:sz w:val="20"/>
          <w:szCs w:val="20"/>
        </w:rPr>
        <w:t>ing</w:t>
      </w:r>
      <w:r w:rsidRPr="008A2991">
        <w:rPr>
          <w:rFonts w:ascii="Times New Roman" w:hAnsi="Times New Roman" w:cs="Times New Roman"/>
          <w:sz w:val="20"/>
          <w:szCs w:val="20"/>
        </w:rPr>
        <w:t xml:space="preserve"> </w:t>
      </w:r>
      <w:r w:rsidR="0029743E" w:rsidRPr="008A2991">
        <w:rPr>
          <w:rFonts w:ascii="Times New Roman" w:hAnsi="Times New Roman" w:cs="Times New Roman"/>
          <w:sz w:val="20"/>
          <w:szCs w:val="20"/>
        </w:rPr>
        <w:t>people’s</w:t>
      </w:r>
      <w:r w:rsidRPr="008A2991">
        <w:rPr>
          <w:rFonts w:ascii="Times New Roman" w:hAnsi="Times New Roman" w:cs="Times New Roman"/>
          <w:sz w:val="20"/>
          <w:szCs w:val="20"/>
        </w:rPr>
        <w:t xml:space="preserve"> willingness to use </w:t>
      </w:r>
      <w:r w:rsidR="0029743E" w:rsidRPr="008A2991">
        <w:rPr>
          <w:rFonts w:ascii="Times New Roman" w:hAnsi="Times New Roman" w:cs="Times New Roman"/>
          <w:sz w:val="20"/>
          <w:szCs w:val="20"/>
        </w:rPr>
        <w:t>it</w:t>
      </w:r>
      <w:r w:rsidRPr="008A2991">
        <w:rPr>
          <w:rFonts w:ascii="Times New Roman" w:hAnsi="Times New Roman" w:cs="Times New Roman"/>
          <w:sz w:val="20"/>
          <w:szCs w:val="20"/>
        </w:rPr>
        <w:t>.</w:t>
      </w:r>
    </w:p>
    <w:p w14:paraId="34F6D20F" w14:textId="05B1F92F" w:rsidR="008C217A" w:rsidRPr="008A2991" w:rsidRDefault="005B7DC2" w:rsidP="008C217A">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w:t>
      </w:r>
      <w:r w:rsidR="008C217A" w:rsidRPr="008A2991">
        <w:rPr>
          <w:rFonts w:ascii="Times New Roman" w:hAnsi="Times New Roman" w:cs="Times New Roman"/>
          <w:sz w:val="20"/>
          <w:szCs w:val="20"/>
        </w:rPr>
        <w:t xml:space="preserve">he literature shows </w:t>
      </w:r>
      <w:r w:rsidRPr="008A2991">
        <w:rPr>
          <w:rFonts w:ascii="Times New Roman" w:hAnsi="Times New Roman" w:cs="Times New Roman"/>
          <w:sz w:val="20"/>
          <w:szCs w:val="20"/>
        </w:rPr>
        <w:t xml:space="preserve">that </w:t>
      </w:r>
      <w:r w:rsidR="008C217A" w:rsidRPr="008A2991">
        <w:rPr>
          <w:rFonts w:ascii="Times New Roman" w:hAnsi="Times New Roman" w:cs="Times New Roman"/>
          <w:sz w:val="20"/>
          <w:szCs w:val="20"/>
        </w:rPr>
        <w:t xml:space="preserve">banks can benefit from a digital transformation. For example, banks </w:t>
      </w:r>
      <w:r w:rsidRPr="008A2991">
        <w:rPr>
          <w:rFonts w:ascii="Times New Roman" w:hAnsi="Times New Roman" w:cs="Times New Roman"/>
          <w:sz w:val="20"/>
          <w:szCs w:val="20"/>
        </w:rPr>
        <w:t xml:space="preserve">were shown to be able to </w:t>
      </w:r>
      <w:r w:rsidR="008C217A" w:rsidRPr="008A2991">
        <w:rPr>
          <w:rFonts w:ascii="Times New Roman" w:hAnsi="Times New Roman" w:cs="Times New Roman"/>
          <w:sz w:val="20"/>
          <w:szCs w:val="20"/>
        </w:rPr>
        <w:t>increase their earnings before interest, taxes, depreciation, and amortization margins by as much as 40% by going digital. Additionally, to increase competitiveness, digit</w:t>
      </w:r>
      <w:r w:rsidR="00EE1655" w:rsidRPr="008A2991">
        <w:rPr>
          <w:rFonts w:ascii="Times New Roman" w:hAnsi="Times New Roman" w:cs="Times New Roman"/>
          <w:sz w:val="20"/>
          <w:szCs w:val="20"/>
        </w:rPr>
        <w:t>ization</w:t>
      </w:r>
      <w:r w:rsidR="008C217A" w:rsidRPr="008A2991">
        <w:rPr>
          <w:rFonts w:ascii="Times New Roman" w:hAnsi="Times New Roman" w:cs="Times New Roman"/>
          <w:sz w:val="20"/>
          <w:szCs w:val="20"/>
        </w:rPr>
        <w:t xml:space="preserve"> allows banks to reach a broader customer base and build closer relationships with tech-savvy users (Barquin </w:t>
      </w:r>
      <w:r w:rsidR="001753AB" w:rsidRPr="008A2991">
        <w:rPr>
          <w:rFonts w:ascii="Times New Roman" w:hAnsi="Times New Roman" w:cs="Times New Roman"/>
          <w:sz w:val="20"/>
          <w:szCs w:val="20"/>
        </w:rPr>
        <w:t>&amp;</w:t>
      </w:r>
      <w:r w:rsidR="008C217A" w:rsidRPr="008A2991">
        <w:rPr>
          <w:rFonts w:ascii="Times New Roman" w:hAnsi="Times New Roman" w:cs="Times New Roman"/>
          <w:sz w:val="20"/>
          <w:szCs w:val="20"/>
        </w:rPr>
        <w:t xml:space="preserve"> Hv, 2015).</w:t>
      </w:r>
    </w:p>
    <w:p w14:paraId="74D28F02" w14:textId="7DD97844" w:rsidR="009D1CA6" w:rsidRPr="008A2991" w:rsidRDefault="008C217A" w:rsidP="004838B9">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The economic</w:t>
      </w:r>
      <w:r w:rsidR="00FD7F27" w:rsidRPr="008A2991">
        <w:rPr>
          <w:rFonts w:ascii="Times New Roman" w:hAnsi="Times New Roman" w:cs="Times New Roman"/>
          <w:sz w:val="20"/>
          <w:szCs w:val="20"/>
        </w:rPr>
        <w:t>s</w:t>
      </w:r>
      <w:r w:rsidRPr="008A2991">
        <w:rPr>
          <w:rFonts w:ascii="Times New Roman" w:hAnsi="Times New Roman" w:cs="Times New Roman"/>
          <w:sz w:val="20"/>
          <w:szCs w:val="20"/>
        </w:rPr>
        <w:t xml:space="preserve"> of digital bank</w:t>
      </w:r>
      <w:r w:rsidR="00FD7F27" w:rsidRPr="008A2991">
        <w:rPr>
          <w:rFonts w:ascii="Times New Roman" w:hAnsi="Times New Roman" w:cs="Times New Roman"/>
          <w:sz w:val="20"/>
          <w:szCs w:val="20"/>
        </w:rPr>
        <w:t>s</w:t>
      </w:r>
      <w:r w:rsidRPr="008A2991">
        <w:rPr>
          <w:rFonts w:ascii="Times New Roman" w:hAnsi="Times New Roman" w:cs="Times New Roman"/>
          <w:sz w:val="20"/>
          <w:szCs w:val="20"/>
        </w:rPr>
        <w:t xml:space="preserve"> provide </w:t>
      </w:r>
      <w:r w:rsidR="00FD7F27" w:rsidRPr="008A2991">
        <w:rPr>
          <w:rFonts w:ascii="Times New Roman" w:hAnsi="Times New Roman" w:cs="Times New Roman"/>
          <w:sz w:val="20"/>
          <w:szCs w:val="20"/>
        </w:rPr>
        <w:t>them</w:t>
      </w:r>
      <w:r w:rsidRPr="008A2991">
        <w:rPr>
          <w:rFonts w:ascii="Times New Roman" w:hAnsi="Times New Roman" w:cs="Times New Roman"/>
          <w:sz w:val="20"/>
          <w:szCs w:val="20"/>
        </w:rPr>
        <w:t xml:space="preserve"> with a vast competitive edge over traditional banks. Consequently, it is fair to say that getting digital banking right is a do-or-die challenge. </w:t>
      </w:r>
      <w:r w:rsidR="00722773" w:rsidRPr="008A2991">
        <w:rPr>
          <w:rFonts w:ascii="Times New Roman" w:hAnsi="Times New Roman" w:cs="Times New Roman"/>
          <w:sz w:val="20"/>
          <w:szCs w:val="20"/>
        </w:rPr>
        <w:t>T</w:t>
      </w:r>
      <w:r w:rsidR="004838B9" w:rsidRPr="008A2991">
        <w:rPr>
          <w:rFonts w:ascii="Times New Roman" w:hAnsi="Times New Roman" w:cs="Times New Roman"/>
          <w:sz w:val="20"/>
          <w:szCs w:val="20"/>
        </w:rPr>
        <w:t xml:space="preserve">his technological transformation of the banking sector has </w:t>
      </w:r>
      <w:r w:rsidR="005A659F" w:rsidRPr="008A2991">
        <w:rPr>
          <w:rFonts w:ascii="Times New Roman" w:hAnsi="Times New Roman" w:cs="Times New Roman"/>
          <w:sz w:val="20"/>
          <w:szCs w:val="20"/>
        </w:rPr>
        <w:t xml:space="preserve">resulted in a great deal of </w:t>
      </w:r>
      <w:r w:rsidR="004838B9" w:rsidRPr="008A2991">
        <w:rPr>
          <w:rFonts w:ascii="Times New Roman" w:hAnsi="Times New Roman" w:cs="Times New Roman"/>
          <w:sz w:val="20"/>
          <w:szCs w:val="20"/>
        </w:rPr>
        <w:t xml:space="preserve">deliberation by researchers, and </w:t>
      </w:r>
      <w:r w:rsidR="004838B9" w:rsidRPr="008A2991">
        <w:rPr>
          <w:rFonts w:ascii="Times New Roman" w:hAnsi="Times New Roman" w:cs="Times New Roman"/>
          <w:sz w:val="20"/>
          <w:szCs w:val="20"/>
        </w:rPr>
        <w:lastRenderedPageBreak/>
        <w:t xml:space="preserve">several studies have been conducted to study the significant growth of digital banking in recent years (Kaur et al., 2021; Mhlanga, 2020). </w:t>
      </w:r>
      <w:r w:rsidR="00722773" w:rsidRPr="008A2991">
        <w:rPr>
          <w:rFonts w:ascii="Times New Roman" w:hAnsi="Times New Roman" w:cs="Times New Roman"/>
          <w:sz w:val="20"/>
          <w:szCs w:val="20"/>
        </w:rPr>
        <w:t>However, r</w:t>
      </w:r>
      <w:r w:rsidR="004838B9" w:rsidRPr="008A2991">
        <w:rPr>
          <w:rFonts w:ascii="Times New Roman" w:hAnsi="Times New Roman" w:cs="Times New Roman"/>
          <w:sz w:val="20"/>
          <w:szCs w:val="20"/>
        </w:rPr>
        <w:t xml:space="preserve">egardless of the widespread popularity and many benefits of digital banking, </w:t>
      </w:r>
      <w:r w:rsidR="00722773" w:rsidRPr="008A2991">
        <w:rPr>
          <w:rFonts w:ascii="Times New Roman" w:hAnsi="Times New Roman" w:cs="Times New Roman"/>
          <w:sz w:val="20"/>
          <w:szCs w:val="20"/>
        </w:rPr>
        <w:t xml:space="preserve">there are </w:t>
      </w:r>
      <w:r w:rsidR="005A659F" w:rsidRPr="008A2991">
        <w:rPr>
          <w:rFonts w:ascii="Times New Roman" w:hAnsi="Times New Roman" w:cs="Times New Roman"/>
          <w:sz w:val="20"/>
          <w:szCs w:val="20"/>
        </w:rPr>
        <w:t xml:space="preserve">a number of </w:t>
      </w:r>
      <w:r w:rsidR="004838B9" w:rsidRPr="008A2991">
        <w:rPr>
          <w:rFonts w:ascii="Times New Roman" w:hAnsi="Times New Roman" w:cs="Times New Roman"/>
          <w:sz w:val="20"/>
          <w:szCs w:val="20"/>
        </w:rPr>
        <w:t xml:space="preserve">obstacles </w:t>
      </w:r>
      <w:r w:rsidR="00722773" w:rsidRPr="008A2991">
        <w:rPr>
          <w:rFonts w:ascii="Times New Roman" w:hAnsi="Times New Roman" w:cs="Times New Roman"/>
          <w:sz w:val="20"/>
          <w:szCs w:val="20"/>
        </w:rPr>
        <w:t xml:space="preserve">that </w:t>
      </w:r>
      <w:r w:rsidR="004838B9" w:rsidRPr="008A2991">
        <w:rPr>
          <w:rFonts w:ascii="Times New Roman" w:hAnsi="Times New Roman" w:cs="Times New Roman"/>
          <w:sz w:val="20"/>
          <w:szCs w:val="20"/>
        </w:rPr>
        <w:t>hinder its adoption (Pikkarainen</w:t>
      </w:r>
      <w:r w:rsidR="005A659F" w:rsidRPr="008A2991">
        <w:rPr>
          <w:rFonts w:ascii="Times New Roman" w:hAnsi="Times New Roman" w:cs="Times New Roman"/>
          <w:sz w:val="20"/>
          <w:szCs w:val="20"/>
        </w:rPr>
        <w:t xml:space="preserve"> et al., </w:t>
      </w:r>
      <w:r w:rsidR="004838B9" w:rsidRPr="008A2991">
        <w:rPr>
          <w:rFonts w:ascii="Times New Roman" w:hAnsi="Times New Roman" w:cs="Times New Roman"/>
          <w:sz w:val="20"/>
          <w:szCs w:val="20"/>
        </w:rPr>
        <w:t>2004)</w:t>
      </w:r>
      <w:r w:rsidR="00722773" w:rsidRPr="008A2991">
        <w:rPr>
          <w:rFonts w:ascii="Times New Roman" w:hAnsi="Times New Roman" w:cs="Times New Roman"/>
          <w:sz w:val="20"/>
          <w:szCs w:val="20"/>
        </w:rPr>
        <w:t>.</w:t>
      </w:r>
      <w:r w:rsidR="004838B9" w:rsidRPr="008A2991">
        <w:rPr>
          <w:rFonts w:ascii="Times New Roman" w:hAnsi="Times New Roman" w:cs="Times New Roman"/>
          <w:sz w:val="20"/>
          <w:szCs w:val="20"/>
        </w:rPr>
        <w:t xml:space="preserve"> </w:t>
      </w:r>
      <w:r w:rsidR="00722773" w:rsidRPr="008A2991">
        <w:rPr>
          <w:rFonts w:ascii="Times New Roman" w:hAnsi="Times New Roman" w:cs="Times New Roman"/>
          <w:sz w:val="20"/>
          <w:szCs w:val="20"/>
        </w:rPr>
        <w:t>These include</w:t>
      </w:r>
      <w:r w:rsidR="004838B9" w:rsidRPr="008A2991">
        <w:rPr>
          <w:rFonts w:ascii="Times New Roman" w:hAnsi="Times New Roman" w:cs="Times New Roman"/>
          <w:sz w:val="20"/>
          <w:szCs w:val="20"/>
        </w:rPr>
        <w:t xml:space="preserve"> lack of access to an internet connection, lack of social and personal touch in availing the services (Mattila</w:t>
      </w:r>
      <w:r w:rsidR="005A659F" w:rsidRPr="008A2991">
        <w:rPr>
          <w:rFonts w:ascii="Times New Roman" w:hAnsi="Times New Roman" w:cs="Times New Roman"/>
          <w:sz w:val="20"/>
          <w:szCs w:val="20"/>
        </w:rPr>
        <w:t xml:space="preserve"> et al.</w:t>
      </w:r>
      <w:r w:rsidR="004838B9" w:rsidRPr="008A2991">
        <w:rPr>
          <w:rFonts w:ascii="Times New Roman" w:hAnsi="Times New Roman" w:cs="Times New Roman"/>
          <w:sz w:val="20"/>
          <w:szCs w:val="20"/>
        </w:rPr>
        <w:t xml:space="preserve">, 2003), and security issues (Sathye, 1999). </w:t>
      </w:r>
      <w:r w:rsidR="008B60ED" w:rsidRPr="008A2991">
        <w:rPr>
          <w:rFonts w:ascii="Times New Roman" w:hAnsi="Times New Roman" w:cs="Times New Roman"/>
          <w:sz w:val="20"/>
          <w:szCs w:val="20"/>
        </w:rPr>
        <w:t>These factors will lead to a slower transformation of the banking sector</w:t>
      </w:r>
      <w:r w:rsidR="00722773" w:rsidRPr="008A2991">
        <w:rPr>
          <w:rFonts w:ascii="Times New Roman" w:hAnsi="Times New Roman" w:cs="Times New Roman"/>
          <w:sz w:val="20"/>
          <w:szCs w:val="20"/>
        </w:rPr>
        <w:t>.</w:t>
      </w:r>
      <w:r w:rsidR="008B60ED" w:rsidRPr="008A2991">
        <w:rPr>
          <w:rFonts w:ascii="Times New Roman" w:hAnsi="Times New Roman" w:cs="Times New Roman"/>
          <w:sz w:val="20"/>
          <w:szCs w:val="20"/>
        </w:rPr>
        <w:t xml:space="preserve"> </w:t>
      </w:r>
      <w:r w:rsidR="00722773" w:rsidRPr="008A2991">
        <w:rPr>
          <w:rFonts w:ascii="Times New Roman" w:hAnsi="Times New Roman" w:cs="Times New Roman"/>
          <w:sz w:val="20"/>
          <w:szCs w:val="20"/>
        </w:rPr>
        <w:t>N</w:t>
      </w:r>
      <w:r w:rsidR="008B60ED" w:rsidRPr="008A2991">
        <w:rPr>
          <w:rFonts w:ascii="Times New Roman" w:hAnsi="Times New Roman" w:cs="Times New Roman"/>
          <w:sz w:val="20"/>
          <w:szCs w:val="20"/>
        </w:rPr>
        <w:t xml:space="preserve">o </w:t>
      </w:r>
      <w:r w:rsidR="00722773" w:rsidRPr="008A2991">
        <w:rPr>
          <w:rFonts w:ascii="Times New Roman" w:hAnsi="Times New Roman" w:cs="Times New Roman"/>
          <w:sz w:val="20"/>
          <w:szCs w:val="20"/>
        </w:rPr>
        <w:t>existing</w:t>
      </w:r>
      <w:r w:rsidR="008B60ED" w:rsidRPr="008A2991">
        <w:rPr>
          <w:rFonts w:ascii="Times New Roman" w:hAnsi="Times New Roman" w:cs="Times New Roman"/>
          <w:sz w:val="20"/>
          <w:szCs w:val="20"/>
        </w:rPr>
        <w:t xml:space="preserve"> literature has identified the factors that influence banks’ willingness to invest in digital account promotion. Therefore, we utilize</w:t>
      </w:r>
      <w:r w:rsidR="00722773" w:rsidRPr="008A2991">
        <w:rPr>
          <w:rFonts w:ascii="Times New Roman" w:hAnsi="Times New Roman" w:cs="Times New Roman"/>
          <w:sz w:val="20"/>
          <w:szCs w:val="20"/>
        </w:rPr>
        <w:t>d</w:t>
      </w:r>
      <w:r w:rsidR="008B60ED" w:rsidRPr="008A2991">
        <w:rPr>
          <w:rFonts w:ascii="Times New Roman" w:hAnsi="Times New Roman" w:cs="Times New Roman"/>
          <w:sz w:val="20"/>
          <w:szCs w:val="20"/>
        </w:rPr>
        <w:t xml:space="preserve"> the PCA methodology to analyze and identify the main factors of digital banking development</w:t>
      </w:r>
      <w:r w:rsidR="004838B9" w:rsidRPr="008A2991">
        <w:rPr>
          <w:rFonts w:ascii="Times New Roman" w:hAnsi="Times New Roman" w:cs="Times New Roman"/>
          <w:sz w:val="20"/>
          <w:szCs w:val="20"/>
        </w:rPr>
        <w:t>.</w:t>
      </w:r>
    </w:p>
    <w:p w14:paraId="3815F89F" w14:textId="5910780E" w:rsidR="000A66E9" w:rsidRPr="008A2991" w:rsidRDefault="002476FF" w:rsidP="000A66E9">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Methodology</w:t>
      </w:r>
    </w:p>
    <w:p w14:paraId="50E27269" w14:textId="1AE7C264" w:rsidR="00F315AD" w:rsidRPr="008A2991" w:rsidRDefault="00D74965" w:rsidP="00615698">
      <w:pPr>
        <w:spacing w:beforeLines="50" w:before="180" w:afterLines="50" w:after="180"/>
        <w:jc w:val="both"/>
        <w:rPr>
          <w:rFonts w:ascii="Times New Roman" w:hAnsi="Times New Roman" w:cs="Times New Roman"/>
          <w:sz w:val="20"/>
          <w:szCs w:val="20"/>
        </w:rPr>
      </w:pPr>
      <w:r w:rsidRPr="008A2991">
        <w:rPr>
          <w:rFonts w:ascii="Times New Roman" w:hAnsi="Times New Roman" w:cs="Times New Roman"/>
          <w:sz w:val="20"/>
          <w:szCs w:val="20"/>
        </w:rPr>
        <w:t xml:space="preserve">This </w:t>
      </w:r>
      <w:r w:rsidR="002476FF" w:rsidRPr="008A2991">
        <w:rPr>
          <w:rFonts w:ascii="Times New Roman" w:hAnsi="Times New Roman" w:cs="Times New Roman"/>
          <w:sz w:val="20"/>
          <w:szCs w:val="20"/>
        </w:rPr>
        <w:t>section</w:t>
      </w:r>
      <w:r w:rsidRPr="008A2991">
        <w:rPr>
          <w:rFonts w:ascii="Times New Roman" w:hAnsi="Times New Roman" w:cs="Times New Roman"/>
          <w:sz w:val="20"/>
          <w:szCs w:val="20"/>
        </w:rPr>
        <w:t xml:space="preserve"> explain</w:t>
      </w:r>
      <w:r w:rsidR="005A659F" w:rsidRPr="008A2991">
        <w:rPr>
          <w:rFonts w:ascii="Times New Roman" w:hAnsi="Times New Roman" w:cs="Times New Roman"/>
          <w:sz w:val="20"/>
          <w:szCs w:val="20"/>
        </w:rPr>
        <w:t>s</w:t>
      </w:r>
      <w:r w:rsidRPr="008A2991">
        <w:rPr>
          <w:rFonts w:ascii="Times New Roman" w:hAnsi="Times New Roman" w:cs="Times New Roman"/>
          <w:sz w:val="20"/>
          <w:szCs w:val="20"/>
        </w:rPr>
        <w:t xml:space="preserve"> </w:t>
      </w:r>
      <w:r w:rsidR="005A659F" w:rsidRPr="008A2991">
        <w:rPr>
          <w:rFonts w:ascii="Times New Roman" w:hAnsi="Times New Roman" w:cs="Times New Roman"/>
          <w:sz w:val="20"/>
          <w:szCs w:val="20"/>
        </w:rPr>
        <w:t xml:space="preserve">the </w:t>
      </w:r>
      <w:r w:rsidR="004C2340" w:rsidRPr="008A2991">
        <w:rPr>
          <w:rFonts w:ascii="Times New Roman" w:hAnsi="Times New Roman" w:cs="Times New Roman"/>
          <w:sz w:val="20"/>
          <w:szCs w:val="20"/>
        </w:rPr>
        <w:t>PCA</w:t>
      </w:r>
      <w:r w:rsidRPr="008A2991">
        <w:rPr>
          <w:rFonts w:ascii="Times New Roman" w:hAnsi="Times New Roman" w:cs="Times New Roman"/>
          <w:sz w:val="20"/>
          <w:szCs w:val="20"/>
        </w:rPr>
        <w:t xml:space="preserve"> methodology.</w:t>
      </w:r>
    </w:p>
    <w:p w14:paraId="70E49580" w14:textId="665F7163" w:rsidR="00F315AD" w:rsidRPr="008A2991" w:rsidRDefault="00D05E2E" w:rsidP="00A428A3">
      <w:pPr>
        <w:pStyle w:val="Heading11"/>
        <w:numPr>
          <w:ilvl w:val="1"/>
          <w:numId w:val="1"/>
        </w:numPr>
        <w:spacing w:before="200" w:after="160"/>
        <w:ind w:left="0" w:firstLine="0"/>
        <w:rPr>
          <w:rFonts w:ascii="Times New Roman" w:hAnsi="Times New Roman" w:cs="Times New Roman"/>
          <w:sz w:val="22"/>
          <w:szCs w:val="22"/>
        </w:rPr>
      </w:pPr>
      <w:r w:rsidRPr="008A2991">
        <w:rPr>
          <w:rFonts w:ascii="Times New Roman" w:hAnsi="Times New Roman" w:cs="Times New Roman"/>
          <w:sz w:val="22"/>
          <w:szCs w:val="22"/>
        </w:rPr>
        <w:t>P</w:t>
      </w:r>
      <w:r w:rsidR="00F315AD" w:rsidRPr="008A2991">
        <w:rPr>
          <w:rFonts w:ascii="Times New Roman" w:hAnsi="Times New Roman" w:cs="Times New Roman"/>
          <w:sz w:val="22"/>
          <w:szCs w:val="22"/>
        </w:rPr>
        <w:t>ri</w:t>
      </w:r>
      <w:r w:rsidR="00F315AD" w:rsidRPr="00E5533D">
        <w:rPr>
          <w:rFonts w:ascii="Times New Roman" w:hAnsi="Times New Roman" w:cs="Times New Roman"/>
          <w:sz w:val="22"/>
          <w:szCs w:val="28"/>
        </w:rPr>
        <w:t xml:space="preserve">ncipal </w:t>
      </w:r>
      <w:r w:rsidR="00E5533D" w:rsidRPr="00E5533D">
        <w:rPr>
          <w:rFonts w:ascii="Times New Roman" w:hAnsi="Times New Roman" w:cs="Times New Roman" w:hint="eastAsia"/>
          <w:sz w:val="22"/>
          <w:szCs w:val="28"/>
        </w:rPr>
        <w:t>c</w:t>
      </w:r>
      <w:r w:rsidR="00F315AD" w:rsidRPr="00E5533D">
        <w:rPr>
          <w:rFonts w:ascii="Times New Roman" w:hAnsi="Times New Roman" w:cs="Times New Roman"/>
          <w:sz w:val="22"/>
          <w:szCs w:val="28"/>
        </w:rPr>
        <w:t xml:space="preserve">omponents </w:t>
      </w:r>
      <w:r w:rsidR="00E5533D" w:rsidRPr="00E5533D">
        <w:rPr>
          <w:rFonts w:ascii="Times New Roman" w:hAnsi="Times New Roman" w:cs="Times New Roman" w:hint="eastAsia"/>
          <w:sz w:val="22"/>
          <w:szCs w:val="28"/>
        </w:rPr>
        <w:t>a</w:t>
      </w:r>
      <w:r w:rsidR="00F315AD" w:rsidRPr="00E5533D">
        <w:rPr>
          <w:rFonts w:ascii="Times New Roman" w:hAnsi="Times New Roman" w:cs="Times New Roman"/>
          <w:sz w:val="22"/>
          <w:szCs w:val="28"/>
        </w:rPr>
        <w:t>nalysis</w:t>
      </w:r>
    </w:p>
    <w:p w14:paraId="4BED521E" w14:textId="2F9F7C21" w:rsidR="00F315AD" w:rsidRPr="008A2991" w:rsidRDefault="00A71B3B"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The PCA model is</w:t>
      </w:r>
      <w:r w:rsidR="007C3CE1" w:rsidRPr="008A2991">
        <w:rPr>
          <w:rFonts w:ascii="Times New Roman" w:hAnsi="Times New Roman" w:cs="Times New Roman"/>
          <w:sz w:val="20"/>
          <w:szCs w:val="20"/>
        </w:rPr>
        <w:t xml:space="preserve"> used</w:t>
      </w:r>
      <w:r w:rsidRPr="008A2991">
        <w:rPr>
          <w:rFonts w:ascii="Times New Roman" w:hAnsi="Times New Roman" w:cs="Times New Roman"/>
          <w:sz w:val="20"/>
          <w:szCs w:val="20"/>
        </w:rPr>
        <w:t xml:space="preserve"> to reduce a larger set of observed variables into a smaller set of “components” that explain a majority of the variance present in the original set of variables (</w:t>
      </w:r>
      <w:r w:rsidR="007D285B" w:rsidRPr="008A2991">
        <w:rPr>
          <w:rFonts w:ascii="Times New Roman" w:hAnsi="Times New Roman" w:cs="Times New Roman"/>
          <w:sz w:val="20"/>
          <w:szCs w:val="20"/>
        </w:rPr>
        <w:t xml:space="preserve">Brauner </w:t>
      </w:r>
      <w:r w:rsidR="00186F56" w:rsidRPr="008A2991">
        <w:rPr>
          <w:rFonts w:ascii="Times New Roman" w:hAnsi="Times New Roman" w:cs="Times New Roman"/>
          <w:sz w:val="20"/>
          <w:szCs w:val="20"/>
        </w:rPr>
        <w:t>&amp;</w:t>
      </w:r>
      <w:r w:rsidR="007D285B" w:rsidRPr="008A2991">
        <w:rPr>
          <w:rFonts w:ascii="Times New Roman" w:hAnsi="Times New Roman" w:cs="Times New Roman"/>
          <w:sz w:val="20"/>
          <w:szCs w:val="20"/>
        </w:rPr>
        <w:t xml:space="preserve"> Shacham, 2000; </w:t>
      </w:r>
      <w:r w:rsidRPr="008A2991">
        <w:rPr>
          <w:rFonts w:ascii="Times New Roman" w:hAnsi="Times New Roman" w:cs="Times New Roman"/>
          <w:sz w:val="20"/>
          <w:szCs w:val="20"/>
        </w:rPr>
        <w:t>Hotelling, 1933</w:t>
      </w:r>
      <w:r w:rsidR="00DE5C83" w:rsidRPr="008A2991">
        <w:rPr>
          <w:rFonts w:ascii="Times New Roman" w:hAnsi="Times New Roman" w:cs="Times New Roman"/>
          <w:sz w:val="20"/>
          <w:szCs w:val="20"/>
        </w:rPr>
        <w:t>;</w:t>
      </w:r>
      <w:r w:rsidRPr="008A2991">
        <w:rPr>
          <w:rFonts w:ascii="Times New Roman" w:hAnsi="Times New Roman" w:cs="Times New Roman"/>
          <w:sz w:val="20"/>
          <w:szCs w:val="20"/>
        </w:rPr>
        <w:t xml:space="preserve"> Jolliffe </w:t>
      </w:r>
      <w:r w:rsidR="00186F56" w:rsidRPr="008A2991">
        <w:rPr>
          <w:rFonts w:ascii="Times New Roman" w:hAnsi="Times New Roman" w:cs="Times New Roman"/>
          <w:sz w:val="20"/>
          <w:szCs w:val="20"/>
        </w:rPr>
        <w:t>&amp;</w:t>
      </w:r>
      <w:r w:rsidRPr="008A2991">
        <w:rPr>
          <w:rFonts w:ascii="Times New Roman" w:hAnsi="Times New Roman" w:cs="Times New Roman"/>
          <w:sz w:val="20"/>
          <w:szCs w:val="20"/>
        </w:rPr>
        <w:t xml:space="preserve"> Cadima, 2016</w:t>
      </w:r>
      <w:r w:rsidR="00DE5C83" w:rsidRPr="008A2991">
        <w:rPr>
          <w:rFonts w:ascii="Times New Roman" w:hAnsi="Times New Roman" w:cs="Times New Roman"/>
          <w:sz w:val="20"/>
          <w:szCs w:val="20"/>
        </w:rPr>
        <w:t>;</w:t>
      </w:r>
      <w:r w:rsidRPr="008A2991">
        <w:rPr>
          <w:rFonts w:ascii="Times New Roman" w:hAnsi="Times New Roman" w:cs="Times New Roman"/>
          <w:sz w:val="20"/>
          <w:szCs w:val="20"/>
        </w:rPr>
        <w:t xml:space="preserve"> Pearson, 1901). </w:t>
      </w:r>
      <w:r w:rsidR="005A659F" w:rsidRPr="008A2991">
        <w:rPr>
          <w:rFonts w:ascii="Times New Roman" w:hAnsi="Times New Roman" w:cs="Times New Roman"/>
          <w:sz w:val="20"/>
          <w:szCs w:val="20"/>
        </w:rPr>
        <w:t xml:space="preserve">In brief, </w:t>
      </w:r>
      <w:r w:rsidRPr="008A2991">
        <w:rPr>
          <w:rFonts w:ascii="Times New Roman" w:hAnsi="Times New Roman" w:cs="Times New Roman"/>
          <w:sz w:val="20"/>
          <w:szCs w:val="20"/>
        </w:rPr>
        <w:t xml:space="preserve">PCA involves performing </w:t>
      </w:r>
      <w:r w:rsidR="00545D7A" w:rsidRPr="008A2991">
        <w:rPr>
          <w:rFonts w:ascii="Times New Roman" w:hAnsi="Times New Roman" w:cs="Times New Roman"/>
          <w:sz w:val="20"/>
          <w:szCs w:val="20"/>
        </w:rPr>
        <w:t>eigen decomposition</w:t>
      </w:r>
      <w:r w:rsidRPr="008A2991">
        <w:rPr>
          <w:rFonts w:ascii="Times New Roman" w:hAnsi="Times New Roman" w:cs="Times New Roman"/>
          <w:sz w:val="20"/>
          <w:szCs w:val="20"/>
        </w:rPr>
        <w:t xml:space="preserve"> on either the correlation or covariance matrix </w:t>
      </w:r>
      <w:r w:rsidR="007C3CE1" w:rsidRPr="008A2991">
        <w:rPr>
          <w:rFonts w:ascii="Times New Roman" w:hAnsi="Times New Roman" w:cs="Times New Roman"/>
          <w:sz w:val="20"/>
          <w:szCs w:val="20"/>
        </w:rPr>
        <w:t xml:space="preserve">that is </w:t>
      </w:r>
      <w:r w:rsidRPr="008A2991">
        <w:rPr>
          <w:rFonts w:ascii="Times New Roman" w:hAnsi="Times New Roman" w:cs="Times New Roman"/>
          <w:sz w:val="20"/>
          <w:szCs w:val="20"/>
        </w:rPr>
        <w:t xml:space="preserve">associated with a set of variables. </w:t>
      </w:r>
      <w:r w:rsidR="00545D7A" w:rsidRPr="008A2991">
        <w:rPr>
          <w:rFonts w:ascii="Times New Roman" w:hAnsi="Times New Roman" w:cs="Times New Roman"/>
          <w:sz w:val="20"/>
          <w:szCs w:val="20"/>
        </w:rPr>
        <w:t>Eigen decomposition</w:t>
      </w:r>
      <w:r w:rsidRPr="008A2991">
        <w:rPr>
          <w:rFonts w:ascii="Times New Roman" w:hAnsi="Times New Roman" w:cs="Times New Roman"/>
          <w:sz w:val="20"/>
          <w:szCs w:val="20"/>
        </w:rPr>
        <w:t xml:space="preserve"> returns as many eigenvectors (components) as variables submitted to </w:t>
      </w:r>
      <w:r w:rsidR="0079066F" w:rsidRPr="008A2991">
        <w:rPr>
          <w:rFonts w:ascii="Times New Roman" w:hAnsi="Times New Roman" w:cs="Times New Roman"/>
          <w:sz w:val="20"/>
          <w:szCs w:val="20"/>
        </w:rPr>
        <w:t xml:space="preserve">the </w:t>
      </w:r>
      <w:r w:rsidRPr="008A2991">
        <w:rPr>
          <w:rFonts w:ascii="Times New Roman" w:hAnsi="Times New Roman" w:cs="Times New Roman"/>
          <w:sz w:val="20"/>
          <w:szCs w:val="20"/>
        </w:rPr>
        <w:t>PCA</w:t>
      </w:r>
      <w:r w:rsidR="006D5C88" w:rsidRPr="008A2991">
        <w:rPr>
          <w:rFonts w:ascii="Times New Roman" w:hAnsi="Times New Roman" w:cs="Times New Roman"/>
          <w:sz w:val="20"/>
          <w:szCs w:val="20"/>
        </w:rPr>
        <w:t xml:space="preserve"> model</w:t>
      </w:r>
      <w:r w:rsidRPr="008A2991">
        <w:rPr>
          <w:rFonts w:ascii="Times New Roman" w:hAnsi="Times New Roman" w:cs="Times New Roman"/>
          <w:sz w:val="20"/>
          <w:szCs w:val="20"/>
        </w:rPr>
        <w:t>, and the length of each eigenvector is equal to the number of variables in the original correlation/covariance matrix. Each eigenvector serves to project the data into a new feature space, and the eigenvalue associated with an eigenvector describes the magnitude within this new feature space. The eigenvalue for a component can also identify the amount of information kept (variance explained) by an eigenvector. Finally, multiplying a component’s eigenvector by the square root of its eigenvalue will yield a set of loadings for a component.</w:t>
      </w:r>
      <w:r w:rsidR="00F875DF" w:rsidRPr="008A2991">
        <w:rPr>
          <w:rFonts w:ascii="Times New Roman" w:hAnsi="Times New Roman" w:cs="Times New Roman"/>
          <w:sz w:val="20"/>
          <w:szCs w:val="20"/>
        </w:rPr>
        <w:t xml:space="preserve"> </w:t>
      </w:r>
      <w:r w:rsidR="0079066F" w:rsidRPr="008A2991">
        <w:rPr>
          <w:rFonts w:ascii="Times New Roman" w:hAnsi="Times New Roman" w:cs="Times New Roman"/>
          <w:sz w:val="20"/>
          <w:szCs w:val="20"/>
        </w:rPr>
        <w:t>T</w:t>
      </w:r>
      <w:r w:rsidR="00F875DF" w:rsidRPr="008A2991">
        <w:rPr>
          <w:rFonts w:ascii="Times New Roman" w:hAnsi="Times New Roman" w:cs="Times New Roman"/>
          <w:sz w:val="20"/>
          <w:szCs w:val="20"/>
        </w:rPr>
        <w:t>he calculation method</w:t>
      </w:r>
      <w:r w:rsidR="0079066F"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 xml:space="preserve">can be </w:t>
      </w:r>
      <w:r w:rsidR="0079066F" w:rsidRPr="008A2991">
        <w:rPr>
          <w:rFonts w:ascii="Times New Roman" w:hAnsi="Times New Roman" w:cs="Times New Roman"/>
          <w:sz w:val="20"/>
          <w:szCs w:val="20"/>
        </w:rPr>
        <w:t>described as follows</w:t>
      </w:r>
      <w:r w:rsidR="00D763A6" w:rsidRPr="008A2991">
        <w:rPr>
          <w:rFonts w:ascii="Times New Roman" w:hAnsi="Times New Roman" w:cs="Times New Roman"/>
          <w:sz w:val="20"/>
          <w:szCs w:val="20"/>
        </w:rPr>
        <w:t>.</w:t>
      </w:r>
    </w:p>
    <w:p w14:paraId="5F5BFF87" w14:textId="2C593248" w:rsidR="00936BBB" w:rsidRPr="008A2991" w:rsidRDefault="00936BBB"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Given a data matrix with </w:t>
      </w:r>
      <w:r w:rsidRPr="008A2991">
        <w:rPr>
          <w:rFonts w:ascii="Times New Roman" w:hAnsi="Times New Roman" w:cs="Times New Roman"/>
          <w:i/>
          <w:iCs/>
          <w:sz w:val="20"/>
          <w:szCs w:val="20"/>
        </w:rPr>
        <w:t>p</w:t>
      </w:r>
      <w:r w:rsidRPr="008A2991">
        <w:rPr>
          <w:rFonts w:ascii="Times New Roman" w:hAnsi="Times New Roman" w:cs="Times New Roman"/>
          <w:sz w:val="20"/>
          <w:szCs w:val="20"/>
        </w:rPr>
        <w:t xml:space="preserve"> variables and </w:t>
      </w:r>
      <w:r w:rsidRPr="008A2991">
        <w:rPr>
          <w:rFonts w:ascii="Times New Roman" w:hAnsi="Times New Roman" w:cs="Times New Roman"/>
          <w:i/>
          <w:iCs/>
          <w:sz w:val="20"/>
          <w:szCs w:val="20"/>
        </w:rPr>
        <w:t>n</w:t>
      </w:r>
      <w:r w:rsidRPr="008A2991">
        <w:rPr>
          <w:rFonts w:ascii="Times New Roman" w:hAnsi="Times New Roman" w:cs="Times New Roman"/>
          <w:sz w:val="20"/>
          <w:szCs w:val="20"/>
        </w:rPr>
        <w:t xml:space="preserve"> samples, the data are first centered on the mean of each variable. This ensures that the cloud of data is centered on the origin of the principal components but does not affect the spatial relationships of the data or the variances along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variables. The linear combination of the variables </w:t>
      </w:r>
      <w:r w:rsidR="00C73802" w:rsidRPr="008A2991">
        <w:rPr>
          <w:rFonts w:ascii="Times New Roman" w:hAnsi="Times New Roman" w:cs="Times New Roman"/>
          <w:sz w:val="20"/>
          <w:szCs w:val="20"/>
        </w:rPr>
        <w:t>indicates</w:t>
      </w:r>
      <w:r w:rsidRPr="008A2991">
        <w:rPr>
          <w:rFonts w:ascii="Times New Roman" w:hAnsi="Times New Roman" w:cs="Times New Roman"/>
          <w:sz w:val="20"/>
          <w:szCs w:val="20"/>
        </w:rPr>
        <w:t xml:space="preserve"> that the first principal component (</w:t>
      </w:r>
      <m:oMath>
        <m:sSub>
          <m:sSubPr>
            <m:ctrlPr>
              <w:rPr>
                <w:rFonts w:ascii="Cambria Math" w:hAnsi="Cambria Math" w:cs="Times New Roman"/>
                <w:sz w:val="20"/>
                <w:szCs w:val="20"/>
              </w:rPr>
            </m:ctrlPr>
          </m:sSubPr>
          <m:e>
            <m:r>
              <w:rPr>
                <w:rFonts w:ascii="Cambria Math" w:hAnsi="Cambria Math" w:cs="Times New Roman"/>
                <w:sz w:val="20"/>
                <w:szCs w:val="20"/>
              </w:rPr>
              <m:t>Y</m:t>
            </m:r>
          </m:e>
          <m:sub>
            <m:r>
              <m:rPr>
                <m:sty m:val="p"/>
              </m:rPr>
              <w:rPr>
                <w:rFonts w:ascii="Cambria Math" w:hAnsi="Cambria Math" w:cs="Times New Roman"/>
                <w:sz w:val="20"/>
                <w:szCs w:val="20"/>
              </w:rPr>
              <m:t>1</m:t>
            </m:r>
          </m:sub>
        </m:sSub>
      </m:oMath>
      <w:r w:rsidRPr="008A2991">
        <w:rPr>
          <w:rFonts w:ascii="Times New Roman" w:hAnsi="Times New Roman" w:cs="Times New Roman"/>
          <w:sz w:val="20"/>
          <w:szCs w:val="20"/>
        </w:rPr>
        <w:t xml:space="preserve">) is given by the linear combination of the variables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8A299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2</m:t>
            </m:r>
          </m:sub>
        </m:sSub>
      </m:oMath>
      <w:r w:rsidRPr="008A2991">
        <w:rPr>
          <w:rFonts w:ascii="Times New Roman" w:hAnsi="Times New Roman" w:cs="Times New Roman"/>
          <w:sz w:val="20"/>
          <w:szCs w:val="20"/>
        </w:rPr>
        <w:t xml:space="preserve">, ...,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P</m:t>
            </m:r>
          </m:sub>
        </m:sSub>
      </m:oMath>
      <w:r w:rsidRPr="008A2991">
        <w:rPr>
          <w:rFonts w:ascii="Times New Roman" w:hAnsi="Times New Roman" w:cs="Times New Roman"/>
          <w:sz w:val="20"/>
          <w:szCs w:val="20"/>
        </w:rPr>
        <w:t>, which can be obtained from the following Equation (1):</w:t>
      </w:r>
    </w:p>
    <w:p w14:paraId="253D3904" w14:textId="771C343B" w:rsidR="00F315AD" w:rsidRPr="008A2991" w:rsidRDefault="00000000" w:rsidP="006938DA">
      <w:pPr>
        <w:spacing w:beforeLines="50" w:before="180" w:afterLines="50" w:after="180"/>
        <w:ind w:firstLineChars="200" w:firstLine="400"/>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1P</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P</m:t>
            </m:r>
          </m:sub>
        </m:sSub>
        <m:r>
          <w:rPr>
            <w:rFonts w:ascii="Cambria Math" w:hAnsi="Cambria Math" w:cs="Times New Roman"/>
            <w:sz w:val="20"/>
            <w:szCs w:val="20"/>
          </w:rPr>
          <m:t>.</m:t>
        </m:r>
      </m:oMath>
      <w:r w:rsidR="00605D8C" w:rsidRPr="008A2991">
        <w:rPr>
          <w:rFonts w:ascii="Times New Roman" w:hAnsi="Times New Roman" w:cs="Times New Roman"/>
          <w:sz w:val="20"/>
          <w:szCs w:val="20"/>
        </w:rPr>
        <w:t xml:space="preserve"> </w:t>
      </w:r>
      <w:r w:rsidR="00F44D08" w:rsidRPr="008A2991">
        <w:rPr>
          <w:rFonts w:ascii="Times New Roman" w:hAnsi="Times New Roman" w:cs="Times New Roman"/>
          <w:sz w:val="20"/>
          <w:szCs w:val="20"/>
        </w:rPr>
        <w:t xml:space="preserve">                                                                               </w:t>
      </w:r>
      <w:r w:rsidR="00825661" w:rsidRPr="008A2991">
        <w:rPr>
          <w:rFonts w:ascii="Times New Roman" w:hAnsi="Times New Roman" w:cs="Times New Roman"/>
          <w:sz w:val="20"/>
          <w:szCs w:val="20"/>
        </w:rPr>
        <w:t>(1)</w:t>
      </w:r>
    </w:p>
    <w:p w14:paraId="64957E07" w14:textId="3A90DCB3" w:rsidR="00F315AD" w:rsidRPr="008A2991" w:rsidRDefault="00825661"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Equation (1)</w:t>
      </w:r>
      <w:r w:rsidR="00DA587A"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principal component is calculated such that it accounts for the greatest possible variance in the dataset. Of course, one could make the variance of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r w:rsidRPr="008A2991">
        <w:rPr>
          <w:rFonts w:ascii="Times New Roman" w:hAnsi="Times New Roman" w:cs="Times New Roman"/>
          <w:sz w:val="20"/>
          <w:szCs w:val="20"/>
        </w:rPr>
        <w:t xml:space="preserve"> as large as possible by choosing large values for the weights </w:t>
      </w:r>
      <m:oMath>
        <m:sSub>
          <m:sSubPr>
            <m:ctrlPr>
              <w:rPr>
                <w:rFonts w:ascii="Cambria Math" w:hAnsi="Cambria Math" w:cs="Times New Roman"/>
                <w:sz w:val="20"/>
                <w:szCs w:val="20"/>
              </w:rPr>
            </m:ctrlPr>
          </m:sSubPr>
          <m:e>
            <m:r>
              <w:rPr>
                <w:rFonts w:ascii="Cambria Math" w:hAnsi="Cambria Math" w:cs="Times New Roman"/>
                <w:sz w:val="20"/>
                <w:szCs w:val="20"/>
              </w:rPr>
              <m:t>a</m:t>
            </m:r>
          </m:e>
          <m:sub>
            <m:r>
              <m:rPr>
                <m:sty m:val="p"/>
              </m:rPr>
              <w:rPr>
                <w:rFonts w:ascii="Cambria Math" w:hAnsi="Cambria Math" w:cs="Times New Roman"/>
                <w:sz w:val="20"/>
                <w:szCs w:val="20"/>
              </w:rPr>
              <m:t>11</m:t>
            </m:r>
          </m:sub>
        </m:sSub>
      </m:oMath>
      <w:r w:rsidRPr="008A299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a</m:t>
            </m:r>
          </m:e>
          <m:sub>
            <m:r>
              <m:rPr>
                <m:sty m:val="p"/>
              </m:rPr>
              <w:rPr>
                <w:rFonts w:ascii="Cambria Math" w:hAnsi="Cambria Math" w:cs="Times New Roman"/>
                <w:sz w:val="20"/>
                <w:szCs w:val="20"/>
              </w:rPr>
              <m:t>12</m:t>
            </m:r>
          </m:sub>
        </m:sSub>
      </m:oMath>
      <w:r w:rsidRPr="008A2991">
        <w:rPr>
          <w:rFonts w:ascii="Times New Roman" w:hAnsi="Times New Roman" w:cs="Times New Roman"/>
          <w:sz w:val="20"/>
          <w:szCs w:val="20"/>
        </w:rPr>
        <w:t xml:space="preserve">, ... </w:t>
      </w:r>
      <m:oMath>
        <m:sSub>
          <m:sSubPr>
            <m:ctrlPr>
              <w:rPr>
                <w:rFonts w:ascii="Cambria Math" w:hAnsi="Cambria Math" w:cs="Times New Roman"/>
                <w:sz w:val="20"/>
                <w:szCs w:val="20"/>
              </w:rPr>
            </m:ctrlPr>
          </m:sSubPr>
          <m:e>
            <m:r>
              <w:rPr>
                <w:rFonts w:ascii="Cambria Math" w:hAnsi="Cambria Math" w:cs="Times New Roman"/>
                <w:sz w:val="20"/>
                <w:szCs w:val="20"/>
              </w:rPr>
              <m:t>a</m:t>
            </m:r>
          </m:e>
          <m:sub>
            <m:r>
              <m:rPr>
                <m:sty m:val="p"/>
              </m:rPr>
              <w:rPr>
                <w:rFonts w:ascii="Cambria Math" w:hAnsi="Cambria Math" w:cs="Times New Roman"/>
                <w:sz w:val="20"/>
                <w:szCs w:val="20"/>
              </w:rPr>
              <m:t>1</m:t>
            </m:r>
            <m:r>
              <w:rPr>
                <w:rFonts w:ascii="Cambria Math" w:hAnsi="Cambria Math" w:cs="Times New Roman"/>
                <w:sz w:val="20"/>
                <w:szCs w:val="20"/>
              </w:rPr>
              <m:t>P</m:t>
            </m:r>
          </m:sub>
        </m:sSub>
      </m:oMath>
      <w:r w:rsidRPr="008A2991">
        <w:rPr>
          <w:rFonts w:ascii="Times New Roman" w:hAnsi="Times New Roman" w:cs="Times New Roman"/>
          <w:sz w:val="20"/>
          <w:szCs w:val="20"/>
        </w:rPr>
        <w:t>.</w:t>
      </w:r>
      <w:r w:rsidR="00605D8C" w:rsidRPr="008A2991">
        <w:rPr>
          <w:rFonts w:ascii="Times New Roman" w:hAnsi="Times New Roman" w:cs="Times New Roman"/>
          <w:sz w:val="20"/>
          <w:szCs w:val="20"/>
        </w:rPr>
        <w:t xml:space="preserve"> </w:t>
      </w:r>
      <w:r w:rsidRPr="008A2991">
        <w:rPr>
          <w:rFonts w:ascii="Times New Roman" w:hAnsi="Times New Roman" w:cs="Times New Roman"/>
          <w:sz w:val="20"/>
          <w:szCs w:val="20"/>
        </w:rPr>
        <w:t>To prevent this, weights are calculated with the constraint that their sum of squares is 1</w:t>
      </w:r>
      <w:r w:rsidR="00DA587A"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DA587A"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is obtained from Equation (2):</w:t>
      </w:r>
    </w:p>
    <w:p w14:paraId="506A7A76" w14:textId="2D2E7E25" w:rsidR="0099351B" w:rsidRPr="008A2991" w:rsidRDefault="00000000" w:rsidP="006938DA">
      <w:pPr>
        <w:spacing w:beforeLines="50" w:before="180" w:afterLines="50" w:after="180"/>
        <w:ind w:firstLineChars="200" w:firstLine="400"/>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11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12</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a</m:t>
            </m:r>
          </m:e>
          <m:sub>
            <m:r>
              <w:rPr>
                <w:rFonts w:ascii="Cambria Math" w:hAnsi="Cambria Math" w:cs="Times New Roman"/>
                <w:sz w:val="20"/>
                <w:szCs w:val="20"/>
              </w:rPr>
              <m:t>1p</m:t>
            </m:r>
          </m:sub>
          <m:sup>
            <m:r>
              <w:rPr>
                <w:rFonts w:ascii="Cambria Math" w:hAnsi="Cambria Math" w:cs="Times New Roman"/>
                <w:sz w:val="20"/>
                <w:szCs w:val="20"/>
              </w:rPr>
              <m:t>2</m:t>
            </m:r>
          </m:sup>
        </m:sSubSup>
        <m:r>
          <w:rPr>
            <w:rFonts w:ascii="Cambria Math" w:hAnsi="Cambria Math" w:cs="Times New Roman"/>
            <w:sz w:val="20"/>
            <w:szCs w:val="20"/>
          </w:rPr>
          <m:t xml:space="preserve">=1.                                                                                                           </m:t>
        </m:r>
      </m:oMath>
      <w:r w:rsidR="00605D8C" w:rsidRPr="008A2991">
        <w:rPr>
          <w:rFonts w:ascii="Times New Roman" w:hAnsi="Times New Roman" w:cs="Times New Roman"/>
          <w:sz w:val="20"/>
          <w:szCs w:val="20"/>
        </w:rPr>
        <w:t xml:space="preserve"> </w:t>
      </w:r>
      <w:r w:rsidR="0099351B" w:rsidRPr="008A2991">
        <w:rPr>
          <w:rFonts w:ascii="Times New Roman" w:hAnsi="Times New Roman" w:cs="Times New Roman"/>
          <w:sz w:val="20"/>
          <w:szCs w:val="20"/>
        </w:rPr>
        <w:t>(2)</w:t>
      </w:r>
    </w:p>
    <w:p w14:paraId="17780BE8" w14:textId="4E6D6BD0" w:rsidR="0099351B" w:rsidRPr="008A2991" w:rsidRDefault="0099351B" w:rsidP="00A428A3">
      <w:pPr>
        <w:spacing w:beforeLines="50" w:before="180" w:afterLines="50" w:after="180"/>
        <w:jc w:val="both"/>
        <w:rPr>
          <w:rFonts w:ascii="Times New Roman" w:hAnsi="Times New Roman" w:cs="Times New Roman"/>
          <w:sz w:val="20"/>
          <w:szCs w:val="20"/>
        </w:rPr>
      </w:pPr>
      <w:r w:rsidRPr="008A2991">
        <w:rPr>
          <w:rFonts w:ascii="Times New Roman" w:hAnsi="Times New Roman" w:cs="Times New Roman"/>
          <w:sz w:val="20"/>
          <w:szCs w:val="20"/>
        </w:rPr>
        <w:t xml:space="preserve">The second principal component is calculated in the same way, with the condition that it is uncorrelated </w:t>
      </w:r>
      <w:r w:rsidRPr="008A2991">
        <w:rPr>
          <w:rFonts w:ascii="Times New Roman" w:hAnsi="Times New Roman" w:cs="Times New Roman"/>
          <w:sz w:val="20"/>
          <w:szCs w:val="20"/>
        </w:rPr>
        <w:lastRenderedPageBreak/>
        <w:t xml:space="preserve">with (i.e., perpendicular to) the first principal component and that it accounts for the next highest variance, </w:t>
      </w:r>
      <w:r w:rsidR="00DA587A" w:rsidRPr="008A2991">
        <w:rPr>
          <w:rFonts w:ascii="Times New Roman" w:hAnsi="Times New Roman" w:cs="Times New Roman"/>
          <w:sz w:val="20"/>
          <w:szCs w:val="20"/>
        </w:rPr>
        <w:t>which</w:t>
      </w:r>
      <w:r w:rsidRPr="008A2991">
        <w:rPr>
          <w:rFonts w:ascii="Times New Roman" w:hAnsi="Times New Roman" w:cs="Times New Roman"/>
          <w:sz w:val="20"/>
          <w:szCs w:val="20"/>
        </w:rPr>
        <w:t xml:space="preserve"> is obtained from Equation (3):</w:t>
      </w:r>
    </w:p>
    <w:p w14:paraId="30F66171" w14:textId="16D7D0DF" w:rsidR="0099351B" w:rsidRPr="008A2991" w:rsidRDefault="00000000" w:rsidP="006938DA">
      <w:pPr>
        <w:spacing w:beforeLines="50" w:before="180" w:afterLines="50" w:after="180"/>
        <w:ind w:firstLineChars="200" w:firstLine="400"/>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22</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2P</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P.</m:t>
            </m:r>
          </m:sub>
        </m:sSub>
      </m:oMath>
      <w:r w:rsidR="00605D8C" w:rsidRPr="008A2991">
        <w:rPr>
          <w:rFonts w:ascii="Times New Roman" w:hAnsi="Times New Roman" w:cs="Times New Roman"/>
          <w:sz w:val="20"/>
          <w:szCs w:val="20"/>
        </w:rPr>
        <w:t xml:space="preserve"> </w:t>
      </w:r>
      <w:r w:rsidR="00F44D08" w:rsidRPr="008A2991">
        <w:rPr>
          <w:rFonts w:ascii="Times New Roman" w:hAnsi="Times New Roman" w:cs="Times New Roman"/>
          <w:sz w:val="20"/>
          <w:szCs w:val="20"/>
        </w:rPr>
        <w:t xml:space="preserve">                                                                              </w:t>
      </w:r>
      <w:r w:rsidR="0099351B" w:rsidRPr="008A2991">
        <w:rPr>
          <w:rFonts w:ascii="Times New Roman" w:hAnsi="Times New Roman" w:cs="Times New Roman"/>
          <w:sz w:val="20"/>
          <w:szCs w:val="20"/>
        </w:rPr>
        <w:t>(3)</w:t>
      </w:r>
    </w:p>
    <w:p w14:paraId="5DD961E9" w14:textId="045EE6DB" w:rsidR="00F315AD" w:rsidRPr="008A2991" w:rsidRDefault="005276C0"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This continues until </w:t>
      </w:r>
      <w:r w:rsidR="00F05623" w:rsidRPr="008A2991">
        <w:rPr>
          <w:rFonts w:ascii="Times New Roman" w:hAnsi="Times New Roman" w:cs="Times New Roman"/>
          <w:i/>
          <w:iCs/>
          <w:sz w:val="20"/>
          <w:szCs w:val="20"/>
        </w:rPr>
        <w:t>P</w:t>
      </w:r>
      <w:r w:rsidRPr="008A2991">
        <w:rPr>
          <w:rFonts w:ascii="Times New Roman" w:hAnsi="Times New Roman" w:cs="Times New Roman"/>
          <w:sz w:val="20"/>
          <w:szCs w:val="20"/>
        </w:rPr>
        <w:t xml:space="preserve"> principal components have been calculated, equal to the original number of variables. The sum of the variances of all the principal components will equal the sum of the variances of all the variables, </w:t>
      </w:r>
      <w:r w:rsidR="00F05623" w:rsidRPr="008A2991">
        <w:rPr>
          <w:rFonts w:ascii="Times New Roman" w:hAnsi="Times New Roman" w:cs="Times New Roman"/>
          <w:sz w:val="20"/>
          <w:szCs w:val="20"/>
        </w:rPr>
        <w:t xml:space="preserve">and </w:t>
      </w:r>
      <w:r w:rsidRPr="008A2991">
        <w:rPr>
          <w:rFonts w:ascii="Times New Roman" w:hAnsi="Times New Roman" w:cs="Times New Roman"/>
          <w:sz w:val="20"/>
          <w:szCs w:val="20"/>
        </w:rPr>
        <w:t>all the original information has been explained or accounted for.</w:t>
      </w:r>
      <w:r w:rsidR="0056170D" w:rsidRPr="008A2991">
        <w:rPr>
          <w:rFonts w:ascii="Times New Roman" w:hAnsi="Times New Roman" w:cs="Times New Roman"/>
          <w:sz w:val="20"/>
          <w:szCs w:val="20"/>
        </w:rPr>
        <w:t xml:space="preserve"> </w:t>
      </w:r>
      <w:r w:rsidR="00F05623" w:rsidRPr="008A2991">
        <w:rPr>
          <w:rFonts w:ascii="Times New Roman" w:hAnsi="Times New Roman" w:cs="Times New Roman"/>
          <w:sz w:val="20"/>
          <w:szCs w:val="20"/>
        </w:rPr>
        <w:t>Finally</w:t>
      </w:r>
      <w:r w:rsidR="0056170D" w:rsidRPr="008A2991">
        <w:rPr>
          <w:rFonts w:ascii="Times New Roman" w:hAnsi="Times New Roman" w:cs="Times New Roman"/>
          <w:sz w:val="20"/>
          <w:szCs w:val="20"/>
        </w:rPr>
        <w:t xml:space="preserve">, the calculation values </w:t>
      </w:r>
      <w:r w:rsidR="00DE5C83" w:rsidRPr="008A2991">
        <w:rPr>
          <w:rFonts w:ascii="Times New Roman" w:hAnsi="Times New Roman" w:cs="Times New Roman"/>
          <w:sz w:val="20"/>
          <w:szCs w:val="20"/>
        </w:rPr>
        <w:t>are</w:t>
      </w:r>
      <w:r w:rsidR="0056170D" w:rsidRPr="008A2991">
        <w:rPr>
          <w:rFonts w:ascii="Times New Roman" w:hAnsi="Times New Roman" w:cs="Times New Roman"/>
          <w:sz w:val="20"/>
          <w:szCs w:val="20"/>
        </w:rPr>
        <w:t xml:space="preserve"> call</w:t>
      </w:r>
      <w:r w:rsidR="0047424F" w:rsidRPr="008A2991">
        <w:rPr>
          <w:rFonts w:ascii="Times New Roman" w:hAnsi="Times New Roman" w:cs="Times New Roman"/>
          <w:sz w:val="20"/>
          <w:szCs w:val="20"/>
        </w:rPr>
        <w:t>ed</w:t>
      </w:r>
      <w:r w:rsidR="0056170D" w:rsidRPr="008A2991">
        <w:rPr>
          <w:rFonts w:ascii="Times New Roman" w:hAnsi="Times New Roman" w:cs="Times New Roman"/>
          <w:sz w:val="20"/>
          <w:szCs w:val="20"/>
        </w:rPr>
        <w:t xml:space="preserve"> loadings. </w:t>
      </w:r>
      <w:r w:rsidR="00F05623" w:rsidRPr="008A2991">
        <w:rPr>
          <w:rFonts w:ascii="Times New Roman" w:hAnsi="Times New Roman" w:cs="Times New Roman"/>
          <w:sz w:val="20"/>
          <w:szCs w:val="20"/>
        </w:rPr>
        <w:t>T</w:t>
      </w:r>
      <w:r w:rsidR="0056170D" w:rsidRPr="008A2991">
        <w:rPr>
          <w:rFonts w:ascii="Times New Roman" w:hAnsi="Times New Roman" w:cs="Times New Roman"/>
          <w:sz w:val="20"/>
          <w:szCs w:val="20"/>
        </w:rPr>
        <w:t xml:space="preserve">he variance covariance matrix of the principal components </w:t>
      </w:r>
      <w:r w:rsidR="00A111EE" w:rsidRPr="008A2991">
        <w:rPr>
          <w:rFonts w:ascii="Times New Roman" w:hAnsi="Times New Roman" w:cs="Times New Roman"/>
          <w:sz w:val="20"/>
          <w:szCs w:val="20"/>
        </w:rPr>
        <w:t>is</w:t>
      </w:r>
      <w:r w:rsidR="0056170D" w:rsidRPr="008A2991">
        <w:rPr>
          <w:rFonts w:ascii="Times New Roman" w:hAnsi="Times New Roman" w:cs="Times New Roman"/>
          <w:sz w:val="20"/>
          <w:szCs w:val="20"/>
        </w:rPr>
        <w:t xml:space="preserve"> known as the eigenvalue</w:t>
      </w:r>
      <w:r w:rsidR="00F05623" w:rsidRPr="008A2991">
        <w:rPr>
          <w:rFonts w:ascii="Times New Roman" w:hAnsi="Times New Roman" w:cs="Times New Roman"/>
          <w:sz w:val="20"/>
          <w:szCs w:val="20"/>
        </w:rPr>
        <w:t>, which</w:t>
      </w:r>
      <w:r w:rsidR="0056170D" w:rsidRPr="008A2991">
        <w:rPr>
          <w:rFonts w:ascii="Times New Roman" w:hAnsi="Times New Roman" w:cs="Times New Roman"/>
          <w:sz w:val="20"/>
          <w:szCs w:val="20"/>
        </w:rPr>
        <w:t xml:space="preserve"> </w:t>
      </w:r>
      <w:r w:rsidR="00F05623" w:rsidRPr="008A2991">
        <w:rPr>
          <w:rFonts w:ascii="Times New Roman" w:hAnsi="Times New Roman" w:cs="Times New Roman"/>
          <w:sz w:val="20"/>
          <w:szCs w:val="20"/>
        </w:rPr>
        <w:t>is</w:t>
      </w:r>
      <w:r w:rsidR="0056170D" w:rsidRPr="008A2991">
        <w:rPr>
          <w:rFonts w:ascii="Times New Roman" w:hAnsi="Times New Roman" w:cs="Times New Roman"/>
          <w:sz w:val="20"/>
          <w:szCs w:val="20"/>
        </w:rPr>
        <w:t xml:space="preserve"> the variance explained by each principal component and </w:t>
      </w:r>
      <w:r w:rsidR="00A111EE" w:rsidRPr="008A2991">
        <w:rPr>
          <w:rFonts w:ascii="Times New Roman" w:hAnsi="Times New Roman" w:cs="Times New Roman"/>
          <w:sz w:val="20"/>
          <w:szCs w:val="20"/>
        </w:rPr>
        <w:t>is</w:t>
      </w:r>
      <w:r w:rsidR="0056170D" w:rsidRPr="008A2991">
        <w:rPr>
          <w:rFonts w:ascii="Times New Roman" w:hAnsi="Times New Roman" w:cs="Times New Roman"/>
          <w:sz w:val="20"/>
          <w:szCs w:val="20"/>
        </w:rPr>
        <w:t xml:space="preserve"> constrained to decrease monotonically from the first principal component to the last. </w:t>
      </w:r>
      <w:r w:rsidR="004D0675" w:rsidRPr="008A2991">
        <w:rPr>
          <w:rFonts w:ascii="Times New Roman" w:hAnsi="Times New Roman" w:cs="Times New Roman"/>
          <w:sz w:val="20"/>
          <w:szCs w:val="20"/>
        </w:rPr>
        <w:t>T</w:t>
      </w:r>
      <w:r w:rsidR="0056170D" w:rsidRPr="008A2991">
        <w:rPr>
          <w:rFonts w:ascii="Times New Roman" w:hAnsi="Times New Roman" w:cs="Times New Roman"/>
          <w:sz w:val="20"/>
          <w:szCs w:val="20"/>
        </w:rPr>
        <w:t>hese eigenvalues</w:t>
      </w:r>
      <w:r w:rsidR="004D0675" w:rsidRPr="008A2991">
        <w:rPr>
          <w:rFonts w:ascii="Times New Roman" w:hAnsi="Times New Roman" w:cs="Times New Roman"/>
          <w:sz w:val="20"/>
          <w:szCs w:val="20"/>
        </w:rPr>
        <w:t xml:space="preserve"> are commonly plotted</w:t>
      </w:r>
      <w:r w:rsidR="0056170D" w:rsidRPr="008A2991">
        <w:rPr>
          <w:rFonts w:ascii="Times New Roman" w:hAnsi="Times New Roman" w:cs="Times New Roman"/>
          <w:sz w:val="20"/>
          <w:szCs w:val="20"/>
        </w:rPr>
        <w:t xml:space="preserve"> on a screen plot to show the decreasing rate at which additional principal components explained variance</w:t>
      </w:r>
      <w:r w:rsidR="00D763A6" w:rsidRPr="008A2991">
        <w:rPr>
          <w:rFonts w:ascii="Times New Roman" w:hAnsi="Times New Roman" w:cs="Times New Roman"/>
          <w:sz w:val="20"/>
          <w:szCs w:val="20"/>
        </w:rPr>
        <w:t xml:space="preserve"> </w:t>
      </w:r>
      <w:r w:rsidR="009C3A55" w:rsidRPr="008A2991">
        <w:rPr>
          <w:rFonts w:ascii="Times New Roman" w:hAnsi="Times New Roman" w:cs="Times New Roman"/>
          <w:sz w:val="20"/>
          <w:szCs w:val="20"/>
        </w:rPr>
        <w:t>(</w:t>
      </w:r>
      <w:r w:rsidR="00D05E2E" w:rsidRPr="008A2991">
        <w:rPr>
          <w:rFonts w:ascii="Times New Roman" w:hAnsi="Times New Roman" w:cs="Times New Roman"/>
          <w:sz w:val="20"/>
          <w:szCs w:val="20"/>
        </w:rPr>
        <w:t xml:space="preserve">Figure </w:t>
      </w:r>
      <w:r w:rsidR="008D5505" w:rsidRPr="008A2991">
        <w:rPr>
          <w:rFonts w:ascii="Times New Roman" w:hAnsi="Times New Roman" w:cs="Times New Roman"/>
          <w:sz w:val="20"/>
          <w:szCs w:val="20"/>
        </w:rPr>
        <w:t>2</w:t>
      </w:r>
      <w:r w:rsidR="009C3A55" w:rsidRPr="008A2991">
        <w:rPr>
          <w:rFonts w:ascii="Times New Roman" w:hAnsi="Times New Roman" w:cs="Times New Roman"/>
          <w:sz w:val="20"/>
          <w:szCs w:val="20"/>
        </w:rPr>
        <w:t>)</w:t>
      </w:r>
      <w:r w:rsidR="0056170D" w:rsidRPr="008A2991">
        <w:rPr>
          <w:rFonts w:ascii="Times New Roman" w:hAnsi="Times New Roman" w:cs="Times New Roman"/>
          <w:sz w:val="20"/>
          <w:szCs w:val="20"/>
        </w:rPr>
        <w:t>.</w:t>
      </w:r>
    </w:p>
    <w:p w14:paraId="255C59A9" w14:textId="5EC0E404" w:rsidR="00F315AD" w:rsidRDefault="009C3A55" w:rsidP="009C3A55">
      <w:pPr>
        <w:spacing w:beforeLines="50" w:before="180" w:afterLines="50" w:after="180"/>
        <w:jc w:val="center"/>
        <w:rPr>
          <w:rFonts w:ascii="Times New Roman" w:hAnsi="Times New Roman" w:cs="Times New Roman"/>
          <w:szCs w:val="24"/>
        </w:rPr>
      </w:pPr>
      <w:r w:rsidRPr="007F3F9C">
        <w:rPr>
          <w:rFonts w:ascii="Times New Roman" w:hAnsi="Times New Roman" w:cs="Times New Roman"/>
          <w:noProof/>
        </w:rPr>
        <w:drawing>
          <wp:inline distT="0" distB="0" distL="0" distR="0" wp14:anchorId="140E49F8" wp14:editId="7992D4C0">
            <wp:extent cx="2942691" cy="1532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7366" cy="1587240"/>
                    </a:xfrm>
                    <a:prstGeom prst="rect">
                      <a:avLst/>
                    </a:prstGeom>
                  </pic:spPr>
                </pic:pic>
              </a:graphicData>
            </a:graphic>
          </wp:inline>
        </w:drawing>
      </w:r>
    </w:p>
    <w:p w14:paraId="5B6E9067" w14:textId="77777777" w:rsidR="00392744" w:rsidRPr="008A2991" w:rsidRDefault="00392744" w:rsidP="00392744">
      <w:pPr>
        <w:overflowPunct w:val="0"/>
        <w:spacing w:before="120" w:after="60"/>
        <w:jc w:val="center"/>
        <w:rPr>
          <w:rFonts w:ascii="Times New Roman" w:hAnsi="Times New Roman" w:cs="Times New Roman"/>
          <w:sz w:val="20"/>
          <w:szCs w:val="20"/>
        </w:rPr>
      </w:pPr>
      <w:r w:rsidRPr="008A2991">
        <w:rPr>
          <w:rFonts w:ascii="Times New Roman" w:hAnsi="Times New Roman" w:cs="Times New Roman"/>
          <w:sz w:val="20"/>
          <w:szCs w:val="20"/>
        </w:rPr>
        <w:t>Figure 2 The decreasing rate of explained variance</w:t>
      </w:r>
    </w:p>
    <w:p w14:paraId="31D091A6" w14:textId="61E46BF1" w:rsidR="00F315AD" w:rsidRPr="008A2991" w:rsidRDefault="009C3A55"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Thus, the principal components are equivalent to major axis regressions.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P</w:t>
      </w:r>
      <w:r w:rsidR="0009270F" w:rsidRPr="008A2991">
        <w:rPr>
          <w:rFonts w:ascii="Times New Roman" w:hAnsi="Times New Roman" w:cs="Times New Roman"/>
          <w:sz w:val="20"/>
          <w:szCs w:val="20"/>
        </w:rPr>
        <w:t>CA</w:t>
      </w:r>
      <w:r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 xml:space="preserve">approach </w:t>
      </w:r>
      <w:r w:rsidRPr="008A2991">
        <w:rPr>
          <w:rFonts w:ascii="Times New Roman" w:hAnsi="Times New Roman" w:cs="Times New Roman"/>
          <w:sz w:val="20"/>
          <w:szCs w:val="20"/>
        </w:rPr>
        <w:t>has the same restrictions as regression, particular</w:t>
      </w:r>
      <w:r w:rsidR="0009270F" w:rsidRPr="008A2991">
        <w:rPr>
          <w:rFonts w:ascii="Times New Roman" w:hAnsi="Times New Roman" w:cs="Times New Roman"/>
          <w:sz w:val="20"/>
          <w:szCs w:val="20"/>
        </w:rPr>
        <w:t>ly</w:t>
      </w:r>
      <w:r w:rsidRPr="008A2991">
        <w:rPr>
          <w:rFonts w:ascii="Times New Roman" w:hAnsi="Times New Roman" w:cs="Times New Roman"/>
          <w:sz w:val="20"/>
          <w:szCs w:val="20"/>
        </w:rPr>
        <w:t xml:space="preserve"> multivariate normality. The distributions of each variable should be checked for normality</w:t>
      </w:r>
      <w:r w:rsidR="0009270F" w:rsidRPr="008A2991">
        <w:rPr>
          <w:rFonts w:ascii="Times New Roman" w:hAnsi="Times New Roman" w:cs="Times New Roman"/>
          <w:sz w:val="20"/>
          <w:szCs w:val="20"/>
        </w:rPr>
        <w:t>,</w:t>
      </w:r>
      <w:r w:rsidRPr="008A2991">
        <w:rPr>
          <w:rFonts w:ascii="Times New Roman" w:hAnsi="Times New Roman" w:cs="Times New Roman"/>
          <w:sz w:val="20"/>
          <w:szCs w:val="20"/>
        </w:rPr>
        <w:t xml:space="preserve"> and transforms </w:t>
      </w:r>
      <w:r w:rsidR="0009270F" w:rsidRPr="008A2991">
        <w:rPr>
          <w:rFonts w:ascii="Times New Roman" w:hAnsi="Times New Roman" w:cs="Times New Roman"/>
          <w:sz w:val="20"/>
          <w:szCs w:val="20"/>
        </w:rPr>
        <w:t xml:space="preserve">should be </w:t>
      </w:r>
      <w:r w:rsidRPr="008A2991">
        <w:rPr>
          <w:rFonts w:ascii="Times New Roman" w:hAnsi="Times New Roman" w:cs="Times New Roman"/>
          <w:sz w:val="20"/>
          <w:szCs w:val="20"/>
        </w:rPr>
        <w:t xml:space="preserve">used where necessary </w:t>
      </w:r>
      <w:r w:rsidR="0009270F" w:rsidRPr="008A2991">
        <w:rPr>
          <w:rFonts w:ascii="Times New Roman" w:hAnsi="Times New Roman" w:cs="Times New Roman"/>
          <w:sz w:val="20"/>
          <w:szCs w:val="20"/>
        </w:rPr>
        <w:t xml:space="preserve">when they are highly </w:t>
      </w:r>
      <w:r w:rsidR="006E5060" w:rsidRPr="008A2991">
        <w:rPr>
          <w:rFonts w:ascii="Times New Roman" w:hAnsi="Times New Roman" w:cs="Times New Roman"/>
          <w:sz w:val="20"/>
          <w:szCs w:val="20"/>
        </w:rPr>
        <w:t>skew</w:t>
      </w:r>
      <w:r w:rsidR="0009270F" w:rsidRPr="008A2991">
        <w:rPr>
          <w:rFonts w:ascii="Times New Roman" w:hAnsi="Times New Roman" w:cs="Times New Roman"/>
          <w:sz w:val="20"/>
          <w:szCs w:val="20"/>
        </w:rPr>
        <w:t>ed</w:t>
      </w:r>
      <w:r w:rsidRPr="008A2991">
        <w:rPr>
          <w:rFonts w:ascii="Times New Roman" w:hAnsi="Times New Roman" w:cs="Times New Roman"/>
          <w:sz w:val="20"/>
          <w:szCs w:val="20"/>
        </w:rPr>
        <w:t xml:space="preserve">. </w:t>
      </w:r>
      <w:r w:rsidR="00832D67" w:rsidRPr="008A2991">
        <w:rPr>
          <w:rFonts w:ascii="Times New Roman" w:hAnsi="Times New Roman" w:cs="Times New Roman"/>
          <w:sz w:val="20"/>
          <w:szCs w:val="20"/>
        </w:rPr>
        <w:t>O</w:t>
      </w:r>
      <w:r w:rsidRPr="008A2991">
        <w:rPr>
          <w:rFonts w:ascii="Times New Roman" w:hAnsi="Times New Roman" w:cs="Times New Roman"/>
          <w:sz w:val="20"/>
          <w:szCs w:val="20"/>
        </w:rPr>
        <w:t xml:space="preserve">utliers </w:t>
      </w:r>
      <w:r w:rsidR="00832D67" w:rsidRPr="008A2991">
        <w:rPr>
          <w:rFonts w:ascii="Times New Roman" w:hAnsi="Times New Roman" w:cs="Times New Roman"/>
          <w:sz w:val="20"/>
          <w:szCs w:val="20"/>
        </w:rPr>
        <w:t xml:space="preserve">should be removed </w:t>
      </w:r>
      <w:r w:rsidRPr="008A2991">
        <w:rPr>
          <w:rFonts w:ascii="Times New Roman" w:hAnsi="Times New Roman" w:cs="Times New Roman"/>
          <w:sz w:val="20"/>
          <w:szCs w:val="20"/>
        </w:rPr>
        <w:t>from the dataset</w:t>
      </w:r>
      <w:r w:rsidR="00832D67"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since</w:t>
      </w:r>
      <w:r w:rsidRPr="008A2991">
        <w:rPr>
          <w:rFonts w:ascii="Times New Roman" w:hAnsi="Times New Roman" w:cs="Times New Roman"/>
          <w:sz w:val="20"/>
          <w:szCs w:val="20"/>
        </w:rPr>
        <w:t xml:space="preserve"> they can dominate the results of a </w:t>
      </w:r>
      <w:r w:rsidR="00832D67" w:rsidRPr="008A2991">
        <w:rPr>
          <w:rFonts w:ascii="Times New Roman" w:hAnsi="Times New Roman" w:cs="Times New Roman"/>
          <w:sz w:val="20"/>
          <w:szCs w:val="20"/>
        </w:rPr>
        <w:t>PCA</w:t>
      </w:r>
      <w:r w:rsidRPr="008A2991">
        <w:rPr>
          <w:rFonts w:ascii="Times New Roman" w:hAnsi="Times New Roman" w:cs="Times New Roman"/>
          <w:sz w:val="20"/>
          <w:szCs w:val="20"/>
        </w:rPr>
        <w:t>.</w:t>
      </w:r>
    </w:p>
    <w:p w14:paraId="6ED8CA35" w14:textId="158A64A2" w:rsidR="000C7129" w:rsidRPr="008A2991" w:rsidRDefault="00D74965"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Therefore, we </w:t>
      </w:r>
      <w:r w:rsidR="00D763A6" w:rsidRPr="008A2991">
        <w:rPr>
          <w:rFonts w:ascii="Times New Roman" w:hAnsi="Times New Roman" w:cs="Times New Roman"/>
          <w:sz w:val="20"/>
          <w:szCs w:val="20"/>
        </w:rPr>
        <w:t xml:space="preserve">chose </w:t>
      </w:r>
      <w:r w:rsidRPr="008A2991">
        <w:rPr>
          <w:rFonts w:ascii="Times New Roman" w:hAnsi="Times New Roman" w:cs="Times New Roman"/>
          <w:sz w:val="20"/>
          <w:szCs w:val="20"/>
        </w:rPr>
        <w:t>to use the factor analysis method.</w:t>
      </w:r>
      <w:r w:rsidR="00832D67" w:rsidRPr="008A2991">
        <w:rPr>
          <w:rFonts w:ascii="Times New Roman" w:hAnsi="Times New Roman" w:cs="Times New Roman"/>
          <w:sz w:val="20"/>
          <w:szCs w:val="20"/>
        </w:rPr>
        <w:t xml:space="preserve"> A</w:t>
      </w:r>
      <w:r w:rsidRPr="008A2991">
        <w:rPr>
          <w:rFonts w:ascii="Times New Roman" w:hAnsi="Times New Roman" w:cs="Times New Roman"/>
          <w:sz w:val="20"/>
          <w:szCs w:val="20"/>
        </w:rPr>
        <w:t xml:space="preserve"> weighted linear composition was created based on the coefficients of factor scores of the observed variables. We used the variance inflation factor (VIF) to validate the PCA and the metrics used for defining the disturbance index.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VIF is a statistical concept that indicates the increase in variance of a regression coefficient as a result of collinearity (Stine, 1995).</w:t>
      </w:r>
    </w:p>
    <w:p w14:paraId="25FFD691" w14:textId="275B5775" w:rsidR="006D5C88" w:rsidRDefault="006D5C88"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Eq</w:t>
      </w:r>
      <w:r w:rsidR="00D763A6" w:rsidRPr="008A2991">
        <w:rPr>
          <w:rFonts w:ascii="Times New Roman" w:hAnsi="Times New Roman" w:cs="Times New Roman"/>
          <w:sz w:val="20"/>
          <w:szCs w:val="20"/>
        </w:rPr>
        <w:t>uation</w:t>
      </w:r>
      <w:r w:rsidRPr="008A2991">
        <w:rPr>
          <w:rFonts w:ascii="Times New Roman" w:hAnsi="Times New Roman" w:cs="Times New Roman"/>
          <w:sz w:val="20"/>
          <w:szCs w:val="20"/>
        </w:rPr>
        <w:t xml:space="preserve"> (</w:t>
      </w:r>
      <w:r w:rsidR="00406230" w:rsidRPr="008A2991">
        <w:rPr>
          <w:rFonts w:ascii="Times New Roman" w:hAnsi="Times New Roman" w:cs="Times New Roman" w:hint="eastAsia"/>
          <w:sz w:val="20"/>
          <w:szCs w:val="20"/>
        </w:rPr>
        <w:t>4</w:t>
      </w:r>
      <w:r w:rsidRPr="008A2991">
        <w:rPr>
          <w:rFonts w:ascii="Times New Roman" w:hAnsi="Times New Roman" w:cs="Times New Roman"/>
          <w:sz w:val="20"/>
          <w:szCs w:val="20"/>
        </w:rPr>
        <w:t>), we show the explained variance (eigenvalue</w:t>
      </w:r>
      <w:r w:rsidR="00D763A6" w:rsidRPr="008A2991">
        <w:rPr>
          <w:rFonts w:ascii="Times New Roman" w:hAnsi="Times New Roman" w:cs="Times New Roman" w:hint="eastAsia"/>
          <w:sz w:val="20"/>
          <w:szCs w:val="20"/>
        </w:rPr>
        <w:t>:</w:t>
      </w:r>
      <w:r w:rsidR="00D763A6" w:rsidRPr="008A299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Pr="008A2991">
        <w:rPr>
          <w:rFonts w:ascii="Times New Roman" w:hAnsi="Times New Roman" w:cs="Times New Roman"/>
          <w:sz w:val="20"/>
          <w:szCs w:val="20"/>
        </w:rPr>
        <w:t>) of the PCA model</w:t>
      </w:r>
      <w:r w:rsidR="00FA0F11" w:rsidRPr="008A2991">
        <w:rPr>
          <w:rFonts w:ascii="Times New Roman" w:hAnsi="Times New Roman" w:cs="Times New Roman"/>
          <w:sz w:val="20"/>
          <w:szCs w:val="20"/>
        </w:rPr>
        <w:t>, which</w:t>
      </w:r>
      <w:r w:rsidRPr="008A2991">
        <w:rPr>
          <w:rFonts w:ascii="Times New Roman" w:hAnsi="Times New Roman" w:cs="Times New Roman"/>
          <w:sz w:val="20"/>
          <w:szCs w:val="20"/>
        </w:rPr>
        <w:t xml:space="preserve"> thereby explains the importance of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variables (eigenvalue</w:t>
      </w:r>
      <w:r w:rsidR="00D763A6" w:rsidRPr="008A2991">
        <w:rPr>
          <w:rFonts w:ascii="Times New Roman" w:hAnsi="Times New Roman" w:cs="Times New Roman" w:hint="eastAsia"/>
          <w:sz w:val="20"/>
          <w:szCs w:val="20"/>
        </w:rPr>
        <w:t>:</w:t>
      </w:r>
      <w:r w:rsidR="00D763A6" w:rsidRPr="008A299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Pr="008A2991">
        <w:rPr>
          <w:rFonts w:ascii="Times New Roman" w:hAnsi="Times New Roman" w:cs="Times New Roman"/>
          <w:sz w:val="20"/>
          <w:szCs w:val="20"/>
        </w:rPr>
        <w:t>). Hence, the rule of thumb for interpreting PCA grade results is as follows: 0</w:t>
      </w:r>
      <w:r w:rsidR="00D763A6" w:rsidRPr="008A2991">
        <w:rPr>
          <w:rFonts w:ascii="Times New Roman" w:hAnsi="Times New Roman" w:cs="Times New Roman"/>
          <w:sz w:val="20"/>
          <w:szCs w:val="20"/>
        </w:rPr>
        <w:t>–</w:t>
      </w:r>
      <w:r w:rsidRPr="008A2991">
        <w:rPr>
          <w:rFonts w:ascii="Times New Roman" w:hAnsi="Times New Roman" w:cs="Times New Roman"/>
          <w:sz w:val="20"/>
          <w:szCs w:val="20"/>
        </w:rPr>
        <w:t>0.20 is negligible, 0.21</w:t>
      </w:r>
      <w:r w:rsidR="00D763A6" w:rsidRPr="008A2991">
        <w:rPr>
          <w:rFonts w:ascii="Times New Roman" w:hAnsi="Times New Roman" w:cs="Times New Roman"/>
          <w:sz w:val="20"/>
          <w:szCs w:val="20"/>
        </w:rPr>
        <w:t>–</w:t>
      </w:r>
      <w:r w:rsidRPr="008A2991">
        <w:rPr>
          <w:rFonts w:ascii="Times New Roman" w:hAnsi="Times New Roman" w:cs="Times New Roman"/>
          <w:sz w:val="20"/>
          <w:szCs w:val="20"/>
        </w:rPr>
        <w:t>0.35 is weak, 0.36</w:t>
      </w:r>
      <w:r w:rsidR="00D763A6" w:rsidRPr="008A2991">
        <w:rPr>
          <w:rFonts w:ascii="Times New Roman" w:hAnsi="Times New Roman" w:cs="Times New Roman"/>
          <w:sz w:val="20"/>
          <w:szCs w:val="20"/>
        </w:rPr>
        <w:t>–</w:t>
      </w:r>
      <w:r w:rsidRPr="008A2991">
        <w:rPr>
          <w:rFonts w:ascii="Times New Roman" w:hAnsi="Times New Roman" w:cs="Times New Roman"/>
          <w:sz w:val="20"/>
          <w:szCs w:val="20"/>
        </w:rPr>
        <w:t>0.67 is moderate, 0.68</w:t>
      </w:r>
      <w:r w:rsidR="00D763A6" w:rsidRPr="008A2991">
        <w:rPr>
          <w:rFonts w:ascii="Times New Roman" w:hAnsi="Times New Roman" w:cs="Times New Roman"/>
          <w:sz w:val="20"/>
          <w:szCs w:val="20"/>
        </w:rPr>
        <w:t>–</w:t>
      </w:r>
      <w:r w:rsidRPr="008A2991">
        <w:rPr>
          <w:rFonts w:ascii="Times New Roman" w:hAnsi="Times New Roman" w:cs="Times New Roman"/>
          <w:sz w:val="20"/>
          <w:szCs w:val="20"/>
        </w:rPr>
        <w:t>0.90 is strong, and 0.91</w:t>
      </w:r>
      <w:r w:rsidR="00D763A6" w:rsidRPr="008A2991">
        <w:rPr>
          <w:rFonts w:ascii="Times New Roman" w:hAnsi="Times New Roman" w:cs="Times New Roman"/>
          <w:sz w:val="20"/>
          <w:szCs w:val="20"/>
        </w:rPr>
        <w:t>–</w:t>
      </w:r>
      <w:r w:rsidRPr="008A2991">
        <w:rPr>
          <w:rFonts w:ascii="Times New Roman" w:hAnsi="Times New Roman" w:cs="Times New Roman"/>
          <w:sz w:val="20"/>
          <w:szCs w:val="20"/>
        </w:rPr>
        <w:t>1.00 is considered very strong (Taylor, 1990; Shavelson, 1996)</w:t>
      </w:r>
      <w:r w:rsidR="00FA0F11" w:rsidRPr="008A2991">
        <w:rPr>
          <w:rFonts w:ascii="Times New Roman" w:hAnsi="Times New Roman" w:cs="Times New Roman"/>
          <w:sz w:val="20"/>
          <w:szCs w:val="20"/>
        </w:rPr>
        <w:t>.</w:t>
      </w:r>
      <w:r w:rsidRPr="008A2991">
        <w:rPr>
          <w:rFonts w:ascii="Times New Roman" w:hAnsi="Times New Roman" w:cs="Times New Roman"/>
          <w:sz w:val="20"/>
          <w:szCs w:val="20"/>
        </w:rPr>
        <w:t xml:space="preserve"> </w:t>
      </w:r>
      <w:r w:rsidR="00FA0F11" w:rsidRPr="008A2991">
        <w:rPr>
          <w:rFonts w:ascii="Times New Roman" w:hAnsi="Times New Roman" w:cs="Times New Roman"/>
          <w:sz w:val="20"/>
          <w:szCs w:val="20"/>
        </w:rPr>
        <w:t>T</w:t>
      </w:r>
      <w:r w:rsidRPr="008A2991">
        <w:rPr>
          <w:rFonts w:ascii="Times New Roman" w:hAnsi="Times New Roman" w:cs="Times New Roman"/>
          <w:sz w:val="20"/>
          <w:szCs w:val="20"/>
        </w:rPr>
        <w:t>he rank</w:t>
      </w:r>
      <w:r w:rsidR="005A2FA8" w:rsidRPr="008A2991">
        <w:rPr>
          <w:rFonts w:ascii="Times New Roman" w:hAnsi="Times New Roman" w:cs="Times New Roman"/>
          <w:sz w:val="20"/>
          <w:szCs w:val="20"/>
        </w:rPr>
        <w:t>ings</w:t>
      </w:r>
      <w:r w:rsidRPr="008A2991">
        <w:rPr>
          <w:rFonts w:ascii="Times New Roman" w:hAnsi="Times New Roman" w:cs="Times New Roman"/>
          <w:sz w:val="20"/>
          <w:szCs w:val="20"/>
        </w:rPr>
        <w:t xml:space="preserve"> of </w:t>
      </w:r>
      <w:r w:rsidR="00D763A6" w:rsidRPr="008A2991">
        <w:rPr>
          <w:rFonts w:ascii="Times New Roman" w:hAnsi="Times New Roman" w:cs="Times New Roman"/>
          <w:sz w:val="20"/>
          <w:szCs w:val="20"/>
        </w:rPr>
        <w:t xml:space="preserve">the </w:t>
      </w:r>
      <w:r w:rsidRPr="008A2991">
        <w:rPr>
          <w:rFonts w:ascii="Times New Roman" w:hAnsi="Times New Roman" w:cs="Times New Roman"/>
          <w:sz w:val="20"/>
          <w:szCs w:val="20"/>
        </w:rPr>
        <w:t>PCA model coefficient results</w:t>
      </w:r>
      <w:r w:rsidR="00FA0F11"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 xml:space="preserve">are presented </w:t>
      </w:r>
      <w:r w:rsidRPr="008A2991">
        <w:rPr>
          <w:rFonts w:ascii="Times New Roman" w:hAnsi="Times New Roman" w:cs="Times New Roman"/>
          <w:sz w:val="20"/>
          <w:szCs w:val="20"/>
        </w:rPr>
        <w:t>in Table 1.</w:t>
      </w:r>
    </w:p>
    <w:p w14:paraId="7636D853" w14:textId="2D722A27" w:rsidR="008A2991" w:rsidRDefault="008A2991" w:rsidP="00C73802">
      <w:pPr>
        <w:spacing w:beforeLines="50" w:before="180" w:afterLines="50" w:after="180"/>
        <w:ind w:firstLineChars="200" w:firstLine="400"/>
        <w:jc w:val="both"/>
        <w:rPr>
          <w:rFonts w:ascii="Times New Roman" w:hAnsi="Times New Roman" w:cs="Times New Roman"/>
          <w:sz w:val="20"/>
          <w:szCs w:val="20"/>
        </w:rPr>
      </w:pPr>
    </w:p>
    <w:p w14:paraId="0FC7F343" w14:textId="07804D64" w:rsidR="008A2991" w:rsidRDefault="008A2991" w:rsidP="00C73802">
      <w:pPr>
        <w:spacing w:beforeLines="50" w:before="180" w:afterLines="50" w:after="180"/>
        <w:ind w:firstLineChars="200" w:firstLine="400"/>
        <w:jc w:val="both"/>
        <w:rPr>
          <w:rFonts w:ascii="Times New Roman" w:hAnsi="Times New Roman" w:cs="Times New Roman"/>
          <w:sz w:val="20"/>
          <w:szCs w:val="20"/>
        </w:rPr>
      </w:pPr>
    </w:p>
    <w:p w14:paraId="6025B730" w14:textId="77777777" w:rsidR="008A2991" w:rsidRPr="008A2991" w:rsidRDefault="008A2991" w:rsidP="00C73802">
      <w:pPr>
        <w:spacing w:beforeLines="50" w:before="180" w:afterLines="50" w:after="180"/>
        <w:ind w:firstLineChars="200" w:firstLine="400"/>
        <w:jc w:val="both"/>
        <w:rPr>
          <w:rFonts w:ascii="Times New Roman" w:hAnsi="Times New Roman" w:cs="Times New Roman"/>
          <w:sz w:val="20"/>
          <w:szCs w:val="20"/>
        </w:rPr>
      </w:pPr>
    </w:p>
    <w:p w14:paraId="576AE4C7" w14:textId="5A443927" w:rsidR="000C7129" w:rsidRPr="008A2991" w:rsidRDefault="000C7129" w:rsidP="00D42C0E">
      <w:pPr>
        <w:overflowPunct w:val="0"/>
        <w:spacing w:before="120" w:after="60"/>
        <w:rPr>
          <w:rFonts w:ascii="Times New Roman" w:hAnsi="Times New Roman" w:cs="Times New Roman"/>
          <w:sz w:val="20"/>
          <w:szCs w:val="20"/>
        </w:rPr>
      </w:pPr>
      <w:r w:rsidRPr="008A2991">
        <w:rPr>
          <w:rFonts w:ascii="Times New Roman" w:hAnsi="Times New Roman" w:cs="Times New Roman"/>
          <w:sz w:val="20"/>
          <w:szCs w:val="20"/>
        </w:rPr>
        <w:t xml:space="preserve">Table </w:t>
      </w:r>
      <w:r w:rsidR="00C73802" w:rsidRPr="008A2991">
        <w:rPr>
          <w:rFonts w:ascii="Times New Roman" w:hAnsi="Times New Roman" w:cs="Times New Roman"/>
          <w:sz w:val="20"/>
          <w:szCs w:val="20"/>
        </w:rPr>
        <w:t xml:space="preserve">1 </w:t>
      </w:r>
      <w:r w:rsidRPr="008A2991">
        <w:rPr>
          <w:rFonts w:ascii="Times New Roman" w:hAnsi="Times New Roman" w:cs="Times New Roman"/>
          <w:sz w:val="20"/>
          <w:szCs w:val="20"/>
        </w:rPr>
        <w:t xml:space="preserve">The </w:t>
      </w:r>
      <w:r w:rsidR="00D763A6" w:rsidRPr="008A2991">
        <w:rPr>
          <w:rFonts w:ascii="Times New Roman" w:hAnsi="Times New Roman" w:cs="Times New Roman"/>
          <w:sz w:val="20"/>
          <w:szCs w:val="20"/>
        </w:rPr>
        <w:t>r</w:t>
      </w:r>
      <w:r w:rsidRPr="008A2991">
        <w:rPr>
          <w:rFonts w:ascii="Times New Roman" w:hAnsi="Times New Roman" w:cs="Times New Roman"/>
          <w:sz w:val="20"/>
          <w:szCs w:val="20"/>
        </w:rPr>
        <w:t>ank</w:t>
      </w:r>
      <w:r w:rsidR="005A2FA8" w:rsidRPr="008A2991">
        <w:rPr>
          <w:rFonts w:ascii="Times New Roman" w:hAnsi="Times New Roman" w:cs="Times New Roman"/>
          <w:sz w:val="20"/>
          <w:szCs w:val="20"/>
        </w:rPr>
        <w:t>ings</w:t>
      </w:r>
      <w:r w:rsidRPr="008A2991">
        <w:rPr>
          <w:rFonts w:ascii="Times New Roman" w:hAnsi="Times New Roman" w:cs="Times New Roman"/>
          <w:sz w:val="20"/>
          <w:szCs w:val="20"/>
        </w:rPr>
        <w:t xml:space="preserve"> of </w:t>
      </w:r>
      <w:r w:rsidR="00D763A6" w:rsidRPr="008A2991">
        <w:rPr>
          <w:rFonts w:ascii="Times New Roman" w:hAnsi="Times New Roman" w:cs="Times New Roman"/>
          <w:sz w:val="20"/>
          <w:szCs w:val="20"/>
        </w:rPr>
        <w:t xml:space="preserve">the </w:t>
      </w:r>
      <w:r w:rsidR="006D5C88" w:rsidRPr="008A2991">
        <w:rPr>
          <w:rFonts w:ascii="Times New Roman" w:hAnsi="Times New Roman" w:cs="Times New Roman"/>
          <w:sz w:val="20"/>
          <w:szCs w:val="20"/>
        </w:rPr>
        <w:t>PCA</w:t>
      </w:r>
      <w:r w:rsidRPr="008A2991">
        <w:rPr>
          <w:rFonts w:ascii="Times New Roman" w:hAnsi="Times New Roman" w:cs="Times New Roman"/>
          <w:sz w:val="20"/>
          <w:szCs w:val="20"/>
        </w:rPr>
        <w:t xml:space="preserve"> </w:t>
      </w:r>
      <w:r w:rsidR="00D763A6" w:rsidRPr="008A2991">
        <w:rPr>
          <w:rFonts w:ascii="Times New Roman" w:hAnsi="Times New Roman" w:cs="Times New Roman"/>
          <w:sz w:val="20"/>
          <w:szCs w:val="20"/>
        </w:rPr>
        <w:t>results</w:t>
      </w:r>
    </w:p>
    <w:tbl>
      <w:tblPr>
        <w:tblStyle w:val="ac"/>
        <w:tblW w:w="0" w:type="auto"/>
        <w:jc w:val="center"/>
        <w:tblLook w:val="04A0" w:firstRow="1" w:lastRow="0" w:firstColumn="1" w:lastColumn="0" w:noHBand="0" w:noVBand="1"/>
      </w:tblPr>
      <w:tblGrid>
        <w:gridCol w:w="1134"/>
        <w:gridCol w:w="3397"/>
        <w:gridCol w:w="3765"/>
      </w:tblGrid>
      <w:tr w:rsidR="000C7129" w:rsidRPr="008A2991" w14:paraId="0936FC11" w14:textId="77777777" w:rsidTr="001B458F">
        <w:trPr>
          <w:jc w:val="center"/>
        </w:trPr>
        <w:tc>
          <w:tcPr>
            <w:tcW w:w="1134" w:type="dxa"/>
          </w:tcPr>
          <w:p w14:paraId="3AD7800F" w14:textId="77777777" w:rsidR="000C7129" w:rsidRPr="008A2991" w:rsidRDefault="000C7129" w:rsidP="00EC6455">
            <w:pPr>
              <w:jc w:val="center"/>
              <w:rPr>
                <w:rFonts w:ascii="Times New Roman" w:eastAsia="新細明體" w:hAnsi="Times New Roman" w:cs="Times New Roman"/>
                <w:sz w:val="20"/>
                <w:szCs w:val="20"/>
              </w:rPr>
            </w:pPr>
            <w:bookmarkStart w:id="1" w:name="_Hlk72265136"/>
            <w:r w:rsidRPr="008A2991">
              <w:rPr>
                <w:rFonts w:ascii="Times New Roman" w:eastAsia="新細明體" w:hAnsi="Times New Roman" w:cs="Times New Roman"/>
                <w:sz w:val="20"/>
                <w:szCs w:val="20"/>
              </w:rPr>
              <w:t>No</w:t>
            </w:r>
          </w:p>
        </w:tc>
        <w:tc>
          <w:tcPr>
            <w:tcW w:w="3397" w:type="dxa"/>
          </w:tcPr>
          <w:p w14:paraId="78588A26" w14:textId="1F068E21" w:rsidR="000C7129" w:rsidRPr="008A2991" w:rsidRDefault="006D5C88"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Eigenvalue</w:t>
            </w:r>
          </w:p>
        </w:tc>
        <w:tc>
          <w:tcPr>
            <w:tcW w:w="3765" w:type="dxa"/>
          </w:tcPr>
          <w:p w14:paraId="77B8D7AD"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Variable correlation degree</w:t>
            </w:r>
          </w:p>
        </w:tc>
      </w:tr>
      <w:tr w:rsidR="000C7129" w:rsidRPr="008A2991" w14:paraId="6964D179" w14:textId="77777777" w:rsidTr="001B458F">
        <w:trPr>
          <w:jc w:val="center"/>
        </w:trPr>
        <w:tc>
          <w:tcPr>
            <w:tcW w:w="1134" w:type="dxa"/>
          </w:tcPr>
          <w:p w14:paraId="1D70C12A"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1</w:t>
            </w:r>
          </w:p>
        </w:tc>
        <w:tc>
          <w:tcPr>
            <w:tcW w:w="3397" w:type="dxa"/>
          </w:tcPr>
          <w:p w14:paraId="09AF2973" w14:textId="5987407C"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0.91</w:t>
            </w:r>
            <w:r w:rsidR="00D763A6" w:rsidRPr="008A2991">
              <w:rPr>
                <w:rFonts w:ascii="Times New Roman" w:eastAsia="新細明體" w:hAnsi="Times New Roman" w:cs="Times New Roman"/>
                <w:sz w:val="20"/>
                <w:szCs w:val="20"/>
              </w:rPr>
              <w:t>–</w:t>
            </w:r>
            <w:r w:rsidRPr="008A2991">
              <w:rPr>
                <w:rFonts w:ascii="Times New Roman" w:eastAsia="新細明體" w:hAnsi="Times New Roman" w:cs="Times New Roman"/>
                <w:sz w:val="20"/>
                <w:szCs w:val="20"/>
              </w:rPr>
              <w:t>1.00</w:t>
            </w:r>
          </w:p>
        </w:tc>
        <w:tc>
          <w:tcPr>
            <w:tcW w:w="3765" w:type="dxa"/>
          </w:tcPr>
          <w:p w14:paraId="1FD5D54E"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hAnsi="Times New Roman" w:cs="Times New Roman"/>
                <w:kern w:val="0"/>
                <w:sz w:val="20"/>
                <w:szCs w:val="20"/>
              </w:rPr>
              <w:t>Very strong</w:t>
            </w:r>
          </w:p>
        </w:tc>
      </w:tr>
      <w:tr w:rsidR="000C7129" w:rsidRPr="008A2991" w14:paraId="18F6D9E0" w14:textId="77777777" w:rsidTr="001B458F">
        <w:trPr>
          <w:jc w:val="center"/>
        </w:trPr>
        <w:tc>
          <w:tcPr>
            <w:tcW w:w="1134" w:type="dxa"/>
          </w:tcPr>
          <w:p w14:paraId="5BC4FB60"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2</w:t>
            </w:r>
          </w:p>
        </w:tc>
        <w:tc>
          <w:tcPr>
            <w:tcW w:w="3397" w:type="dxa"/>
          </w:tcPr>
          <w:p w14:paraId="2EEC8BB6" w14:textId="34C1AD3D"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0.68</w:t>
            </w:r>
            <w:r w:rsidR="00D763A6" w:rsidRPr="008A2991">
              <w:rPr>
                <w:rFonts w:ascii="Times New Roman" w:eastAsia="新細明體" w:hAnsi="Times New Roman" w:cs="Times New Roman"/>
                <w:sz w:val="20"/>
                <w:szCs w:val="20"/>
              </w:rPr>
              <w:t>–</w:t>
            </w:r>
            <w:r w:rsidRPr="008A2991">
              <w:rPr>
                <w:rFonts w:ascii="Times New Roman" w:eastAsia="新細明體" w:hAnsi="Times New Roman" w:cs="Times New Roman"/>
                <w:sz w:val="20"/>
                <w:szCs w:val="20"/>
              </w:rPr>
              <w:t>0.90</w:t>
            </w:r>
          </w:p>
        </w:tc>
        <w:tc>
          <w:tcPr>
            <w:tcW w:w="3765" w:type="dxa"/>
          </w:tcPr>
          <w:p w14:paraId="43B885EE"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hAnsi="Times New Roman" w:cs="Times New Roman"/>
                <w:kern w:val="0"/>
                <w:sz w:val="20"/>
                <w:szCs w:val="20"/>
              </w:rPr>
              <w:t>Strong</w:t>
            </w:r>
          </w:p>
        </w:tc>
      </w:tr>
      <w:tr w:rsidR="000C7129" w:rsidRPr="008A2991" w14:paraId="6E1DBF11" w14:textId="77777777" w:rsidTr="001B458F">
        <w:trPr>
          <w:jc w:val="center"/>
        </w:trPr>
        <w:tc>
          <w:tcPr>
            <w:tcW w:w="1134" w:type="dxa"/>
          </w:tcPr>
          <w:p w14:paraId="511114C1"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3</w:t>
            </w:r>
          </w:p>
        </w:tc>
        <w:tc>
          <w:tcPr>
            <w:tcW w:w="3397" w:type="dxa"/>
          </w:tcPr>
          <w:p w14:paraId="17561AAA" w14:textId="051FCEFC"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0.36</w:t>
            </w:r>
            <w:r w:rsidR="00D763A6" w:rsidRPr="008A2991">
              <w:rPr>
                <w:rFonts w:ascii="Times New Roman" w:eastAsia="新細明體" w:hAnsi="Times New Roman" w:cs="Times New Roman"/>
                <w:sz w:val="20"/>
                <w:szCs w:val="20"/>
              </w:rPr>
              <w:t>–</w:t>
            </w:r>
            <w:r w:rsidRPr="008A2991">
              <w:rPr>
                <w:rFonts w:ascii="Times New Roman" w:eastAsia="新細明體" w:hAnsi="Times New Roman" w:cs="Times New Roman"/>
                <w:sz w:val="20"/>
                <w:szCs w:val="20"/>
              </w:rPr>
              <w:t>0.67</w:t>
            </w:r>
          </w:p>
        </w:tc>
        <w:tc>
          <w:tcPr>
            <w:tcW w:w="3765" w:type="dxa"/>
          </w:tcPr>
          <w:p w14:paraId="5D49AA79"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hAnsi="Times New Roman" w:cs="Times New Roman"/>
                <w:kern w:val="0"/>
                <w:sz w:val="20"/>
                <w:szCs w:val="20"/>
              </w:rPr>
              <w:t>Moderate</w:t>
            </w:r>
          </w:p>
        </w:tc>
      </w:tr>
      <w:tr w:rsidR="000C7129" w:rsidRPr="008A2991" w14:paraId="1C6E0D69" w14:textId="77777777" w:rsidTr="001B458F">
        <w:trPr>
          <w:jc w:val="center"/>
        </w:trPr>
        <w:tc>
          <w:tcPr>
            <w:tcW w:w="1134" w:type="dxa"/>
          </w:tcPr>
          <w:p w14:paraId="0637EA96"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4</w:t>
            </w:r>
          </w:p>
        </w:tc>
        <w:tc>
          <w:tcPr>
            <w:tcW w:w="3397" w:type="dxa"/>
          </w:tcPr>
          <w:p w14:paraId="2A2F3643" w14:textId="30545A83"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0.21</w:t>
            </w:r>
            <w:r w:rsidR="00D763A6" w:rsidRPr="008A2991">
              <w:rPr>
                <w:rFonts w:ascii="Times New Roman" w:eastAsia="新細明體" w:hAnsi="Times New Roman" w:cs="Times New Roman"/>
                <w:sz w:val="20"/>
                <w:szCs w:val="20"/>
              </w:rPr>
              <w:t>–</w:t>
            </w:r>
            <w:r w:rsidRPr="008A2991">
              <w:rPr>
                <w:rFonts w:ascii="Times New Roman" w:eastAsia="新細明體" w:hAnsi="Times New Roman" w:cs="Times New Roman"/>
                <w:sz w:val="20"/>
                <w:szCs w:val="20"/>
              </w:rPr>
              <w:t>0.35</w:t>
            </w:r>
          </w:p>
        </w:tc>
        <w:tc>
          <w:tcPr>
            <w:tcW w:w="3765" w:type="dxa"/>
          </w:tcPr>
          <w:p w14:paraId="704183E6"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hAnsi="Times New Roman" w:cs="Times New Roman"/>
                <w:kern w:val="0"/>
                <w:sz w:val="20"/>
                <w:szCs w:val="20"/>
              </w:rPr>
              <w:t>Weak</w:t>
            </w:r>
          </w:p>
        </w:tc>
      </w:tr>
      <w:tr w:rsidR="000C7129" w:rsidRPr="008A2991" w14:paraId="135B94B8" w14:textId="77777777" w:rsidTr="001B458F">
        <w:trPr>
          <w:jc w:val="center"/>
        </w:trPr>
        <w:tc>
          <w:tcPr>
            <w:tcW w:w="1134" w:type="dxa"/>
          </w:tcPr>
          <w:p w14:paraId="45053C8D"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5</w:t>
            </w:r>
          </w:p>
        </w:tc>
        <w:tc>
          <w:tcPr>
            <w:tcW w:w="3397" w:type="dxa"/>
          </w:tcPr>
          <w:p w14:paraId="74F0CB08" w14:textId="2F211993" w:rsidR="000C7129" w:rsidRPr="008A2991" w:rsidRDefault="000C7129" w:rsidP="00EC6455">
            <w:pPr>
              <w:jc w:val="center"/>
              <w:rPr>
                <w:rFonts w:ascii="Times New Roman" w:eastAsia="新細明體" w:hAnsi="Times New Roman" w:cs="Times New Roman"/>
                <w:sz w:val="20"/>
                <w:szCs w:val="20"/>
              </w:rPr>
            </w:pPr>
            <w:r w:rsidRPr="008A2991">
              <w:rPr>
                <w:rFonts w:ascii="Times New Roman" w:eastAsia="新細明體" w:hAnsi="Times New Roman" w:cs="Times New Roman"/>
                <w:sz w:val="20"/>
                <w:szCs w:val="20"/>
              </w:rPr>
              <w:t>0</w:t>
            </w:r>
            <w:r w:rsidR="00D763A6" w:rsidRPr="008A2991">
              <w:rPr>
                <w:rFonts w:ascii="Times New Roman" w:eastAsia="新細明體" w:hAnsi="Times New Roman" w:cs="Times New Roman"/>
                <w:sz w:val="20"/>
                <w:szCs w:val="20"/>
              </w:rPr>
              <w:t>–</w:t>
            </w:r>
            <w:r w:rsidRPr="008A2991">
              <w:rPr>
                <w:rFonts w:ascii="Times New Roman" w:eastAsia="新細明體" w:hAnsi="Times New Roman" w:cs="Times New Roman"/>
                <w:sz w:val="20"/>
                <w:szCs w:val="20"/>
              </w:rPr>
              <w:t>0.20</w:t>
            </w:r>
            <w:r w:rsidR="001B458F" w:rsidRPr="008A2991">
              <w:rPr>
                <w:rFonts w:ascii="Times New Roman" w:eastAsia="新細明體" w:hAnsi="Times New Roman" w:cs="Times New Roman"/>
                <w:sz w:val="20"/>
                <w:szCs w:val="20"/>
              </w:rPr>
              <w:t xml:space="preserve"> (contains negative values)</w:t>
            </w:r>
          </w:p>
        </w:tc>
        <w:tc>
          <w:tcPr>
            <w:tcW w:w="3765" w:type="dxa"/>
          </w:tcPr>
          <w:p w14:paraId="54A9DBA1" w14:textId="77777777" w:rsidR="000C7129" w:rsidRPr="008A2991" w:rsidRDefault="000C7129" w:rsidP="00EC6455">
            <w:pPr>
              <w:jc w:val="center"/>
              <w:rPr>
                <w:rFonts w:ascii="Times New Roman" w:eastAsia="新細明體" w:hAnsi="Times New Roman" w:cs="Times New Roman"/>
                <w:sz w:val="20"/>
                <w:szCs w:val="20"/>
              </w:rPr>
            </w:pPr>
            <w:r w:rsidRPr="008A2991">
              <w:rPr>
                <w:rFonts w:ascii="Times New Roman" w:hAnsi="Times New Roman" w:cs="Times New Roman"/>
                <w:kern w:val="0"/>
                <w:sz w:val="20"/>
                <w:szCs w:val="20"/>
              </w:rPr>
              <w:t>Negligible</w:t>
            </w:r>
          </w:p>
        </w:tc>
      </w:tr>
    </w:tbl>
    <w:bookmarkEnd w:id="1"/>
    <w:p w14:paraId="45C0E24B" w14:textId="37BDB70F" w:rsidR="00D763A6" w:rsidRPr="00D42C0E" w:rsidRDefault="000C7129" w:rsidP="00437EE1">
      <w:pPr>
        <w:spacing w:after="120"/>
        <w:rPr>
          <w:rFonts w:ascii="Times New Roman" w:hAnsi="Times New Roman" w:cs="Times New Roman"/>
          <w:sz w:val="18"/>
          <w:szCs w:val="18"/>
        </w:rPr>
      </w:pPr>
      <w:r w:rsidRPr="006938DA">
        <w:rPr>
          <w:rFonts w:ascii="Times New Roman" w:hAnsi="Times New Roman" w:cs="Times New Roman"/>
          <w:sz w:val="18"/>
          <w:szCs w:val="18"/>
        </w:rPr>
        <w:t xml:space="preserve">Source: Authors' </w:t>
      </w:r>
      <w:r w:rsidR="00D763A6" w:rsidRPr="006938DA">
        <w:rPr>
          <w:rFonts w:ascii="Times New Roman" w:hAnsi="Times New Roman" w:cs="Times New Roman"/>
          <w:sz w:val="18"/>
          <w:szCs w:val="18"/>
        </w:rPr>
        <w:t>c</w:t>
      </w:r>
      <w:r w:rsidRPr="006938DA">
        <w:rPr>
          <w:rFonts w:ascii="Times New Roman" w:hAnsi="Times New Roman" w:cs="Times New Roman"/>
          <w:sz w:val="18"/>
          <w:szCs w:val="18"/>
        </w:rPr>
        <w:t>ompilation</w:t>
      </w:r>
    </w:p>
    <w:p w14:paraId="474F0BFD" w14:textId="767D0D41" w:rsidR="000A66E9" w:rsidRPr="008A2991" w:rsidRDefault="000A66E9" w:rsidP="000A66E9">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 xml:space="preserve">Empirical </w:t>
      </w:r>
      <w:r w:rsidR="00E5533D" w:rsidRPr="00E5533D">
        <w:rPr>
          <w:rFonts w:ascii="Times New Roman" w:hAnsi="Times New Roman" w:cs="Times New Roman" w:hint="eastAsia"/>
          <w:sz w:val="22"/>
          <w:szCs w:val="28"/>
        </w:rPr>
        <w:t>r</w:t>
      </w:r>
      <w:r w:rsidRPr="008A2991">
        <w:rPr>
          <w:rFonts w:ascii="Times New Roman" w:hAnsi="Times New Roman" w:cs="Times New Roman"/>
          <w:sz w:val="22"/>
          <w:szCs w:val="28"/>
        </w:rPr>
        <w:t xml:space="preserve">esults and </w:t>
      </w:r>
      <w:r w:rsidR="00E5533D" w:rsidRPr="00E5533D">
        <w:rPr>
          <w:rFonts w:ascii="Times New Roman" w:hAnsi="Times New Roman" w:cs="Times New Roman" w:hint="eastAsia"/>
          <w:sz w:val="22"/>
          <w:szCs w:val="28"/>
        </w:rPr>
        <w:t>a</w:t>
      </w:r>
      <w:r w:rsidRPr="008A2991">
        <w:rPr>
          <w:rFonts w:ascii="Times New Roman" w:hAnsi="Times New Roman" w:cs="Times New Roman"/>
          <w:sz w:val="22"/>
          <w:szCs w:val="28"/>
        </w:rPr>
        <w:t>nalysis</w:t>
      </w:r>
    </w:p>
    <w:p w14:paraId="3E8BCC91" w14:textId="49FE2967" w:rsidR="00B55D7A" w:rsidRPr="008A2991" w:rsidRDefault="008F6933"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This section applies the PCA method to </w:t>
      </w:r>
      <w:r w:rsidR="005844BF" w:rsidRPr="008A2991">
        <w:rPr>
          <w:rFonts w:ascii="Times New Roman" w:hAnsi="Times New Roman" w:cs="Times New Roman"/>
          <w:sz w:val="20"/>
          <w:szCs w:val="20"/>
        </w:rPr>
        <w:t>the way that</w:t>
      </w:r>
      <w:r w:rsidRPr="008A2991">
        <w:rPr>
          <w:rFonts w:ascii="Times New Roman" w:hAnsi="Times New Roman" w:cs="Times New Roman"/>
          <w:sz w:val="20"/>
          <w:szCs w:val="20"/>
        </w:rPr>
        <w:t xml:space="preserve"> maintenance strategy selection decisions are made using the proposed model. </w:t>
      </w:r>
      <w:r w:rsidR="005844BF" w:rsidRPr="008A2991">
        <w:rPr>
          <w:rFonts w:ascii="Times New Roman" w:hAnsi="Times New Roman" w:cs="Times New Roman"/>
          <w:sz w:val="20"/>
          <w:szCs w:val="20"/>
        </w:rPr>
        <w:t>The e</w:t>
      </w:r>
      <w:r w:rsidRPr="008A2991">
        <w:rPr>
          <w:rFonts w:ascii="Times New Roman" w:hAnsi="Times New Roman" w:cs="Times New Roman"/>
          <w:sz w:val="20"/>
          <w:szCs w:val="20"/>
        </w:rPr>
        <w:t>mpirical analysis of this section</w:t>
      </w:r>
      <w:r w:rsidR="005844BF" w:rsidRPr="008A2991">
        <w:rPr>
          <w:rFonts w:ascii="Times New Roman" w:hAnsi="Times New Roman" w:cs="Times New Roman"/>
          <w:sz w:val="20"/>
          <w:szCs w:val="20"/>
        </w:rPr>
        <w:t xml:space="preserve"> is mainly composed</w:t>
      </w:r>
      <w:r w:rsidRPr="008A2991">
        <w:rPr>
          <w:rFonts w:ascii="Times New Roman" w:hAnsi="Times New Roman" w:cs="Times New Roman"/>
          <w:sz w:val="20"/>
          <w:szCs w:val="20"/>
        </w:rPr>
        <w:t xml:space="preserve"> of two parts: a description of the study objects and variables and an application of the PCA model to analyze what the critical factors</w:t>
      </w:r>
      <w:r w:rsidR="005844BF" w:rsidRPr="008A2991">
        <w:rPr>
          <w:rFonts w:ascii="Times New Roman" w:hAnsi="Times New Roman" w:cs="Times New Roman"/>
          <w:sz w:val="20"/>
          <w:szCs w:val="20"/>
        </w:rPr>
        <w:t xml:space="preserve"> </w:t>
      </w:r>
      <w:r w:rsidR="002432B2" w:rsidRPr="008A2991">
        <w:rPr>
          <w:rFonts w:ascii="Times New Roman" w:hAnsi="Times New Roman" w:cs="Times New Roman"/>
          <w:sz w:val="20"/>
          <w:szCs w:val="20"/>
        </w:rPr>
        <w:t>are</w:t>
      </w:r>
      <w:r w:rsidR="00B55D7A" w:rsidRPr="008A2991">
        <w:rPr>
          <w:rFonts w:ascii="Times New Roman" w:hAnsi="Times New Roman" w:cs="Times New Roman"/>
          <w:sz w:val="20"/>
          <w:szCs w:val="20"/>
        </w:rPr>
        <w:t xml:space="preserve">. </w:t>
      </w:r>
    </w:p>
    <w:p w14:paraId="618FE4AD" w14:textId="5CBB7F2A" w:rsidR="0082506C" w:rsidRPr="008A2991" w:rsidRDefault="0082506C" w:rsidP="0082506C">
      <w:pPr>
        <w:pStyle w:val="Heading11"/>
        <w:numPr>
          <w:ilvl w:val="1"/>
          <w:numId w:val="1"/>
        </w:numPr>
        <w:spacing w:before="200" w:after="160"/>
        <w:ind w:left="0" w:firstLine="0"/>
        <w:rPr>
          <w:rFonts w:ascii="Times New Roman" w:hAnsi="Times New Roman" w:cs="Times New Roman"/>
          <w:sz w:val="22"/>
          <w:szCs w:val="22"/>
        </w:rPr>
      </w:pPr>
      <w:r w:rsidRPr="008A2991">
        <w:rPr>
          <w:rFonts w:ascii="Times New Roman" w:hAnsi="Times New Roman" w:cs="Times New Roman"/>
          <w:sz w:val="22"/>
          <w:szCs w:val="22"/>
        </w:rPr>
        <w:t xml:space="preserve">Research </w:t>
      </w:r>
      <w:r w:rsidR="00E5533D" w:rsidRPr="00E5533D">
        <w:rPr>
          <w:rFonts w:ascii="Times New Roman" w:hAnsi="Times New Roman" w:cs="Times New Roman" w:hint="eastAsia"/>
          <w:sz w:val="22"/>
          <w:szCs w:val="22"/>
        </w:rPr>
        <w:t>o</w:t>
      </w:r>
      <w:r w:rsidRPr="008A2991">
        <w:rPr>
          <w:rFonts w:ascii="Times New Roman" w:hAnsi="Times New Roman" w:cs="Times New Roman"/>
          <w:sz w:val="22"/>
          <w:szCs w:val="22"/>
        </w:rPr>
        <w:t xml:space="preserve">bjects and </w:t>
      </w:r>
      <w:r w:rsidR="00E5533D" w:rsidRPr="00E5533D">
        <w:rPr>
          <w:rFonts w:ascii="Times New Roman" w:hAnsi="Times New Roman" w:cs="Times New Roman" w:hint="eastAsia"/>
          <w:sz w:val="22"/>
          <w:szCs w:val="22"/>
        </w:rPr>
        <w:t>v</w:t>
      </w:r>
      <w:r w:rsidRPr="008A2991">
        <w:rPr>
          <w:rFonts w:ascii="Times New Roman" w:hAnsi="Times New Roman" w:cs="Times New Roman"/>
          <w:sz w:val="22"/>
          <w:szCs w:val="22"/>
        </w:rPr>
        <w:t xml:space="preserve">ariables </w:t>
      </w:r>
      <w:r w:rsidR="00E5533D" w:rsidRPr="00E5533D">
        <w:rPr>
          <w:rFonts w:ascii="Times New Roman" w:hAnsi="Times New Roman" w:cs="Times New Roman" w:hint="eastAsia"/>
          <w:sz w:val="22"/>
          <w:szCs w:val="22"/>
        </w:rPr>
        <w:t>d</w:t>
      </w:r>
      <w:r w:rsidRPr="008A2991">
        <w:rPr>
          <w:rFonts w:ascii="Times New Roman" w:hAnsi="Times New Roman" w:cs="Times New Roman"/>
          <w:sz w:val="22"/>
          <w:szCs w:val="22"/>
        </w:rPr>
        <w:t xml:space="preserve">escription </w:t>
      </w:r>
    </w:p>
    <w:p w14:paraId="6844A2C7" w14:textId="36873467" w:rsidR="0082506C" w:rsidRPr="008A2991" w:rsidRDefault="0082506C"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this section, we fir</w:t>
      </w:r>
      <w:r w:rsidR="008A77F1" w:rsidRPr="008A2991">
        <w:rPr>
          <w:rFonts w:ascii="Times New Roman" w:hAnsi="Times New Roman" w:cs="Times New Roman"/>
          <w:sz w:val="20"/>
          <w:szCs w:val="20"/>
        </w:rPr>
        <w:t xml:space="preserve">st </w:t>
      </w:r>
      <w:r w:rsidRPr="008A2991">
        <w:rPr>
          <w:rFonts w:ascii="Times New Roman" w:hAnsi="Times New Roman" w:cs="Times New Roman"/>
          <w:sz w:val="20"/>
          <w:szCs w:val="20"/>
        </w:rPr>
        <w:t>describe the study objects and then the variable</w:t>
      </w:r>
      <w:r w:rsidR="00C408C9" w:rsidRPr="008A2991">
        <w:rPr>
          <w:rFonts w:ascii="Times New Roman" w:hAnsi="Times New Roman" w:cs="Times New Roman"/>
          <w:sz w:val="20"/>
          <w:szCs w:val="20"/>
        </w:rPr>
        <w:t>s</w:t>
      </w:r>
      <w:r w:rsidRPr="008A2991">
        <w:rPr>
          <w:rFonts w:ascii="Times New Roman" w:hAnsi="Times New Roman" w:cs="Times New Roman"/>
          <w:sz w:val="20"/>
          <w:szCs w:val="20"/>
        </w:rPr>
        <w:t>.</w:t>
      </w:r>
    </w:p>
    <w:p w14:paraId="2C2595A5" w14:textId="77777777" w:rsidR="0082506C" w:rsidRPr="008A2991" w:rsidRDefault="0082506C" w:rsidP="00437EE1">
      <w:pPr>
        <w:pStyle w:val="Heading11"/>
        <w:numPr>
          <w:ilvl w:val="2"/>
          <w:numId w:val="1"/>
        </w:numPr>
        <w:spacing w:before="100" w:after="100"/>
        <w:ind w:left="0" w:firstLine="0"/>
        <w:rPr>
          <w:rFonts w:ascii="Times New Roman" w:hAnsi="Times New Roman" w:cs="Times New Roman"/>
          <w:b w:val="0"/>
          <w:bCs w:val="0"/>
          <w:sz w:val="20"/>
          <w:szCs w:val="20"/>
        </w:rPr>
      </w:pPr>
      <w:r w:rsidRPr="008A2991">
        <w:rPr>
          <w:rFonts w:ascii="Times New Roman" w:hAnsi="Times New Roman" w:cs="Times New Roman"/>
          <w:b w:val="0"/>
          <w:bCs w:val="0"/>
          <w:sz w:val="20"/>
          <w:szCs w:val="20"/>
        </w:rPr>
        <w:t xml:space="preserve">Research Objects </w:t>
      </w:r>
    </w:p>
    <w:p w14:paraId="580E508C" w14:textId="4EF391E2" w:rsidR="000C7129" w:rsidRPr="008A2991" w:rsidRDefault="000C7129"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Taiwan</w:t>
      </w:r>
      <w:r w:rsidR="00644A87" w:rsidRPr="008A2991">
        <w:rPr>
          <w:rFonts w:ascii="Times New Roman" w:hAnsi="Times New Roman" w:cs="Times New Roman"/>
          <w:sz w:val="20"/>
          <w:szCs w:val="20"/>
        </w:rPr>
        <w:t>,</w:t>
      </w:r>
      <w:r w:rsidRPr="008A2991">
        <w:rPr>
          <w:rFonts w:ascii="Times New Roman" w:hAnsi="Times New Roman" w:cs="Times New Roman"/>
          <w:sz w:val="20"/>
          <w:szCs w:val="20"/>
        </w:rPr>
        <w:t xml:space="preserve"> banks</w:t>
      </w:r>
      <w:r w:rsidR="00644A87" w:rsidRPr="008A2991">
        <w:rPr>
          <w:rFonts w:ascii="Times New Roman" w:hAnsi="Times New Roman" w:cs="Times New Roman"/>
          <w:sz w:val="20"/>
          <w:szCs w:val="20"/>
        </w:rPr>
        <w:t xml:space="preserve"> are divided</w:t>
      </w:r>
      <w:r w:rsidRPr="008A2991">
        <w:rPr>
          <w:rFonts w:ascii="Times New Roman" w:hAnsi="Times New Roman" w:cs="Times New Roman"/>
          <w:sz w:val="20"/>
          <w:szCs w:val="20"/>
        </w:rPr>
        <w:t xml:space="preserve"> into three categories: commercial banks, specialized banks, and trust and investment companies. After implementing the Trust Business Law, all trust and investment companies in Taiwan have withdrawn from the market. Specialized banks have also </w:t>
      </w:r>
      <w:r w:rsidR="00C408C9" w:rsidRPr="008A2991">
        <w:rPr>
          <w:rFonts w:ascii="Times New Roman" w:hAnsi="Times New Roman" w:cs="Times New Roman"/>
          <w:sz w:val="20"/>
          <w:szCs w:val="20"/>
        </w:rPr>
        <w:t xml:space="preserve">been </w:t>
      </w:r>
      <w:r w:rsidRPr="008A2991">
        <w:rPr>
          <w:rFonts w:ascii="Times New Roman" w:hAnsi="Times New Roman" w:cs="Times New Roman"/>
          <w:sz w:val="20"/>
          <w:szCs w:val="20"/>
        </w:rPr>
        <w:t xml:space="preserve">transformed into commercial banks </w:t>
      </w:r>
      <w:r w:rsidR="00C408C9" w:rsidRPr="008A2991">
        <w:rPr>
          <w:rFonts w:ascii="Times New Roman" w:hAnsi="Times New Roman" w:cs="Times New Roman"/>
          <w:sz w:val="20"/>
          <w:szCs w:val="20"/>
        </w:rPr>
        <w:t xml:space="preserve">due to </w:t>
      </w:r>
      <w:r w:rsidRPr="008A2991">
        <w:rPr>
          <w:rFonts w:ascii="Times New Roman" w:hAnsi="Times New Roman" w:cs="Times New Roman"/>
          <w:sz w:val="20"/>
          <w:szCs w:val="20"/>
        </w:rPr>
        <w:t xml:space="preserve">different business targets. </w:t>
      </w:r>
      <w:r w:rsidR="007B0E64" w:rsidRPr="008A2991">
        <w:rPr>
          <w:rFonts w:ascii="Times New Roman" w:hAnsi="Times New Roman" w:cs="Times New Roman"/>
          <w:sz w:val="20"/>
          <w:szCs w:val="20"/>
        </w:rPr>
        <w:t>However</w:t>
      </w:r>
      <w:r w:rsidRPr="008A2991">
        <w:rPr>
          <w:rFonts w:ascii="Times New Roman" w:hAnsi="Times New Roman" w:cs="Times New Roman"/>
          <w:sz w:val="20"/>
          <w:szCs w:val="20"/>
        </w:rPr>
        <w:t xml:space="preserve">, commercial banks have different operating scales, </w:t>
      </w:r>
      <w:r w:rsidR="007B0E64" w:rsidRPr="008A2991">
        <w:rPr>
          <w:rFonts w:ascii="Times New Roman" w:hAnsi="Times New Roman" w:cs="Times New Roman"/>
          <w:sz w:val="20"/>
          <w:szCs w:val="20"/>
        </w:rPr>
        <w:t>and their</w:t>
      </w:r>
      <w:r w:rsidRPr="008A2991">
        <w:rPr>
          <w:rFonts w:ascii="Times New Roman" w:hAnsi="Times New Roman" w:cs="Times New Roman"/>
          <w:sz w:val="20"/>
          <w:szCs w:val="20"/>
        </w:rPr>
        <w:t xml:space="preserve"> operating costs and benefits are also different, </w:t>
      </w:r>
      <w:r w:rsidR="00C408C9" w:rsidRPr="008A2991">
        <w:rPr>
          <w:rFonts w:ascii="Times New Roman" w:hAnsi="Times New Roman" w:cs="Times New Roman"/>
          <w:sz w:val="20"/>
          <w:szCs w:val="20"/>
        </w:rPr>
        <w:t xml:space="preserve">meaning </w:t>
      </w:r>
      <w:r w:rsidRPr="008A2991">
        <w:rPr>
          <w:rFonts w:ascii="Times New Roman" w:hAnsi="Times New Roman" w:cs="Times New Roman"/>
          <w:sz w:val="20"/>
          <w:szCs w:val="20"/>
        </w:rPr>
        <w:t xml:space="preserve">they should not </w:t>
      </w:r>
      <w:r w:rsidR="007B0E64" w:rsidRPr="008A2991">
        <w:rPr>
          <w:rFonts w:ascii="Times New Roman" w:hAnsi="Times New Roman" w:cs="Times New Roman"/>
          <w:sz w:val="20"/>
          <w:szCs w:val="20"/>
        </w:rPr>
        <w:t xml:space="preserve">be </w:t>
      </w:r>
      <w:r w:rsidRPr="008A2991">
        <w:rPr>
          <w:rFonts w:ascii="Times New Roman" w:hAnsi="Times New Roman" w:cs="Times New Roman"/>
          <w:sz w:val="20"/>
          <w:szCs w:val="20"/>
        </w:rPr>
        <w:t>compare</w:t>
      </w:r>
      <w:r w:rsidR="007B0E64" w:rsidRPr="008A2991">
        <w:rPr>
          <w:rFonts w:ascii="Times New Roman" w:hAnsi="Times New Roman" w:cs="Times New Roman"/>
          <w:sz w:val="20"/>
          <w:szCs w:val="20"/>
        </w:rPr>
        <w:t>d</w:t>
      </w:r>
      <w:r w:rsidRPr="008A2991">
        <w:rPr>
          <w:rFonts w:ascii="Times New Roman" w:hAnsi="Times New Roman" w:cs="Times New Roman"/>
          <w:sz w:val="20"/>
          <w:szCs w:val="20"/>
        </w:rPr>
        <w:t>. Therefore, this study only analyzes financial holding companies in Taiwan.</w:t>
      </w:r>
    </w:p>
    <w:p w14:paraId="38EA9D41" w14:textId="7441B8A7" w:rsidR="0082506C" w:rsidRPr="008A2991" w:rsidRDefault="0082506C"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This research analy</w:t>
      </w:r>
      <w:r w:rsidR="007B0E64" w:rsidRPr="008A2991">
        <w:rPr>
          <w:rFonts w:ascii="Times New Roman" w:hAnsi="Times New Roman" w:cs="Times New Roman"/>
          <w:sz w:val="20"/>
          <w:szCs w:val="20"/>
        </w:rPr>
        <w:t>z</w:t>
      </w:r>
      <w:r w:rsidRPr="008A2991">
        <w:rPr>
          <w:rFonts w:ascii="Times New Roman" w:hAnsi="Times New Roman" w:cs="Times New Roman"/>
          <w:sz w:val="20"/>
          <w:szCs w:val="20"/>
        </w:rPr>
        <w:t xml:space="preserve">es the digital account operations of the 16 financial holding companies in Taiwan. The Guopiao Financial Holding (Taiwan bank) does not have a digital account business (no digital banking) </w:t>
      </w:r>
      <w:r w:rsidR="00C408C9" w:rsidRPr="008A2991">
        <w:rPr>
          <w:rFonts w:ascii="Times New Roman" w:hAnsi="Times New Roman" w:cs="Times New Roman"/>
          <w:sz w:val="20"/>
          <w:szCs w:val="20"/>
        </w:rPr>
        <w:t xml:space="preserve">and was thus </w:t>
      </w:r>
      <w:r w:rsidR="007B0E64" w:rsidRPr="008A2991">
        <w:rPr>
          <w:rFonts w:ascii="Times New Roman" w:hAnsi="Times New Roman" w:cs="Times New Roman"/>
          <w:sz w:val="20"/>
          <w:szCs w:val="20"/>
        </w:rPr>
        <w:t>removed from the</w:t>
      </w:r>
      <w:r w:rsidRPr="008A2991">
        <w:rPr>
          <w:rFonts w:ascii="Times New Roman" w:hAnsi="Times New Roman" w:cs="Times New Roman"/>
          <w:sz w:val="20"/>
          <w:szCs w:val="20"/>
        </w:rPr>
        <w:t xml:space="preserve"> research. This study uses </w:t>
      </w:r>
      <w:r w:rsidR="007B0E64" w:rsidRPr="008A2991">
        <w:rPr>
          <w:rFonts w:ascii="Times New Roman" w:hAnsi="Times New Roman" w:cs="Times New Roman"/>
          <w:sz w:val="20"/>
          <w:szCs w:val="20"/>
        </w:rPr>
        <w:t>three</w:t>
      </w:r>
      <w:r w:rsidRPr="008A2991">
        <w:rPr>
          <w:rFonts w:ascii="Times New Roman" w:hAnsi="Times New Roman" w:cs="Times New Roman"/>
          <w:sz w:val="20"/>
          <w:szCs w:val="20"/>
        </w:rPr>
        <w:t xml:space="preserve"> years of data </w:t>
      </w:r>
      <w:r w:rsidR="00C408C9" w:rsidRPr="008A2991">
        <w:rPr>
          <w:rFonts w:ascii="Times New Roman" w:hAnsi="Times New Roman" w:cs="Times New Roman"/>
          <w:sz w:val="20"/>
          <w:szCs w:val="20"/>
        </w:rPr>
        <w:t>(</w:t>
      </w:r>
      <w:r w:rsidRPr="008A2991">
        <w:rPr>
          <w:rFonts w:ascii="Times New Roman" w:hAnsi="Times New Roman" w:cs="Times New Roman"/>
          <w:sz w:val="20"/>
          <w:szCs w:val="20"/>
        </w:rPr>
        <w:t>2017</w:t>
      </w:r>
      <w:r w:rsidR="00C408C9" w:rsidRPr="008A2991">
        <w:rPr>
          <w:rFonts w:ascii="Times New Roman" w:hAnsi="Times New Roman" w:cs="Times New Roman"/>
          <w:sz w:val="20"/>
          <w:szCs w:val="20"/>
        </w:rPr>
        <w:t>–</w:t>
      </w:r>
      <w:r w:rsidRPr="008A2991">
        <w:rPr>
          <w:rFonts w:ascii="Times New Roman" w:hAnsi="Times New Roman" w:cs="Times New Roman"/>
          <w:sz w:val="20"/>
          <w:szCs w:val="20"/>
        </w:rPr>
        <w:t>2020</w:t>
      </w:r>
      <w:r w:rsidR="00C408C9" w:rsidRPr="008A2991">
        <w:rPr>
          <w:rFonts w:ascii="Times New Roman" w:hAnsi="Times New Roman" w:cs="Times New Roman"/>
          <w:sz w:val="20"/>
          <w:szCs w:val="20"/>
        </w:rPr>
        <w:t>)</w:t>
      </w:r>
      <w:r w:rsidRPr="008A2991">
        <w:rPr>
          <w:rFonts w:ascii="Times New Roman" w:hAnsi="Times New Roman" w:cs="Times New Roman"/>
          <w:sz w:val="20"/>
          <w:szCs w:val="20"/>
        </w:rPr>
        <w:t xml:space="preserve">, mainly because the data are relatively comprehensive and include all the large financial holding companies (15 </w:t>
      </w:r>
      <w:r w:rsidR="007B0E64" w:rsidRPr="008A2991">
        <w:rPr>
          <w:rFonts w:ascii="Times New Roman" w:hAnsi="Times New Roman" w:cs="Times New Roman"/>
          <w:sz w:val="20"/>
          <w:szCs w:val="20"/>
        </w:rPr>
        <w:t>in total</w:t>
      </w:r>
      <w:r w:rsidRPr="008A2991">
        <w:rPr>
          <w:rFonts w:ascii="Times New Roman" w:hAnsi="Times New Roman" w:cs="Times New Roman"/>
          <w:sz w:val="20"/>
          <w:szCs w:val="20"/>
        </w:rPr>
        <w:t xml:space="preserve">) in </w:t>
      </w:r>
      <w:r w:rsidR="008A77F1" w:rsidRPr="008A2991">
        <w:rPr>
          <w:rFonts w:ascii="Times New Roman" w:hAnsi="Times New Roman" w:cs="Times New Roman"/>
          <w:sz w:val="20"/>
          <w:szCs w:val="20"/>
        </w:rPr>
        <w:t>Taiwan</w:t>
      </w:r>
      <w:r w:rsidR="007B0E64" w:rsidRPr="008A2991">
        <w:rPr>
          <w:rFonts w:ascii="Times New Roman" w:hAnsi="Times New Roman" w:cs="Times New Roman"/>
          <w:sz w:val="20"/>
          <w:szCs w:val="20"/>
        </w:rPr>
        <w:t>.</w:t>
      </w:r>
      <w:r w:rsidR="008A77F1" w:rsidRPr="008A2991">
        <w:rPr>
          <w:rFonts w:ascii="Times New Roman" w:hAnsi="Times New Roman" w:cs="Times New Roman"/>
          <w:sz w:val="20"/>
          <w:szCs w:val="20"/>
        </w:rPr>
        <w:t xml:space="preserve"> </w:t>
      </w:r>
      <w:r w:rsidR="007B0E64" w:rsidRPr="008A2991">
        <w:rPr>
          <w:rFonts w:ascii="Times New Roman" w:hAnsi="Times New Roman" w:cs="Times New Roman"/>
          <w:sz w:val="20"/>
          <w:szCs w:val="20"/>
        </w:rPr>
        <w:t>Th</w:t>
      </w:r>
      <w:r w:rsidR="00C408C9" w:rsidRPr="008A2991">
        <w:rPr>
          <w:rFonts w:ascii="Times New Roman" w:hAnsi="Times New Roman" w:cs="Times New Roman"/>
          <w:sz w:val="20"/>
          <w:szCs w:val="20"/>
        </w:rPr>
        <w:t xml:space="preserve">e data are </w:t>
      </w:r>
      <w:r w:rsidRPr="008A2991">
        <w:rPr>
          <w:rFonts w:ascii="Times New Roman" w:hAnsi="Times New Roman" w:cs="Times New Roman"/>
          <w:sz w:val="20"/>
          <w:szCs w:val="20"/>
        </w:rPr>
        <w:t>shown in Table 2.</w:t>
      </w:r>
    </w:p>
    <w:p w14:paraId="1B9F96F0" w14:textId="33582395" w:rsidR="0082506C" w:rsidRPr="008A2991" w:rsidRDefault="0082506C" w:rsidP="00D42C0E">
      <w:pPr>
        <w:overflowPunct w:val="0"/>
        <w:spacing w:before="120" w:after="60"/>
        <w:rPr>
          <w:rFonts w:ascii="Times New Roman" w:hAnsi="Times New Roman" w:cs="Times New Roman"/>
          <w:sz w:val="20"/>
          <w:szCs w:val="20"/>
        </w:rPr>
      </w:pPr>
      <w:r w:rsidRPr="008A2991">
        <w:rPr>
          <w:rFonts w:ascii="Times New Roman" w:hAnsi="Times New Roman" w:cs="Times New Roman"/>
          <w:sz w:val="20"/>
          <w:szCs w:val="20"/>
        </w:rPr>
        <w:t xml:space="preserve">Table </w:t>
      </w:r>
      <w:r w:rsidR="00C73802" w:rsidRPr="008A2991">
        <w:rPr>
          <w:rFonts w:ascii="Times New Roman" w:hAnsi="Times New Roman" w:cs="Times New Roman"/>
          <w:sz w:val="20"/>
          <w:szCs w:val="20"/>
        </w:rPr>
        <w:t xml:space="preserve">2 </w:t>
      </w:r>
      <w:r w:rsidRPr="008A2991">
        <w:rPr>
          <w:rFonts w:ascii="Times New Roman" w:hAnsi="Times New Roman" w:cs="Times New Roman"/>
          <w:sz w:val="20"/>
          <w:szCs w:val="20"/>
        </w:rPr>
        <w:t xml:space="preserve">Bank </w:t>
      </w:r>
      <w:r w:rsidR="00C408C9" w:rsidRPr="008A2991">
        <w:rPr>
          <w:rFonts w:ascii="Times New Roman" w:hAnsi="Times New Roman" w:cs="Times New Roman"/>
          <w:sz w:val="20"/>
          <w:szCs w:val="20"/>
        </w:rPr>
        <w:t>names and number of digital accounts</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5501"/>
        <w:gridCol w:w="2012"/>
      </w:tblGrid>
      <w:tr w:rsidR="0082506C" w:rsidRPr="008A2991" w14:paraId="45EA218A" w14:textId="77777777" w:rsidTr="00BB5664">
        <w:trPr>
          <w:trHeight w:val="293"/>
          <w:jc w:val="center"/>
        </w:trPr>
        <w:tc>
          <w:tcPr>
            <w:tcW w:w="837" w:type="dxa"/>
            <w:shd w:val="clear" w:color="auto" w:fill="auto"/>
            <w:vAlign w:val="center"/>
          </w:tcPr>
          <w:p w14:paraId="546E443C"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NO</w:t>
            </w:r>
          </w:p>
        </w:tc>
        <w:tc>
          <w:tcPr>
            <w:tcW w:w="5501" w:type="dxa"/>
            <w:shd w:val="clear" w:color="auto" w:fill="auto"/>
            <w:noWrap/>
            <w:vAlign w:val="center"/>
          </w:tcPr>
          <w:p w14:paraId="253CA3D7"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Bank name</w:t>
            </w:r>
          </w:p>
        </w:tc>
        <w:tc>
          <w:tcPr>
            <w:tcW w:w="2012" w:type="dxa"/>
            <w:shd w:val="clear" w:color="auto" w:fill="auto"/>
            <w:noWrap/>
            <w:vAlign w:val="center"/>
          </w:tcPr>
          <w:p w14:paraId="2266341E"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Digital account operations</w:t>
            </w:r>
          </w:p>
        </w:tc>
      </w:tr>
      <w:tr w:rsidR="0082506C" w:rsidRPr="008A2991" w14:paraId="3B0E8D0E" w14:textId="77777777" w:rsidTr="00BB5664">
        <w:trPr>
          <w:trHeight w:val="293"/>
          <w:jc w:val="center"/>
        </w:trPr>
        <w:tc>
          <w:tcPr>
            <w:tcW w:w="837" w:type="dxa"/>
            <w:shd w:val="clear" w:color="auto" w:fill="auto"/>
            <w:vAlign w:val="center"/>
          </w:tcPr>
          <w:p w14:paraId="42157F47"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w:t>
            </w:r>
          </w:p>
        </w:tc>
        <w:tc>
          <w:tcPr>
            <w:tcW w:w="5501" w:type="dxa"/>
            <w:shd w:val="clear" w:color="auto" w:fill="auto"/>
            <w:noWrap/>
            <w:vAlign w:val="center"/>
          </w:tcPr>
          <w:p w14:paraId="4DC09FF5"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Hua-Nan</w:t>
            </w:r>
            <w:r w:rsidRPr="008A2991">
              <w:rPr>
                <w:rFonts w:ascii="Times New Roman" w:eastAsia="標楷體" w:hAnsi="Times New Roman" w:cs="Times New Roman"/>
                <w:sz w:val="20"/>
                <w:szCs w:val="20"/>
              </w:rPr>
              <w:t xml:space="preserve"> Financial Holdings </w:t>
            </w:r>
            <w:r w:rsidRPr="008A2991">
              <w:rPr>
                <w:rFonts w:ascii="Times New Roman" w:eastAsia="標楷體" w:hAnsi="Times New Roman" w:cs="Times New Roman"/>
                <w:sz w:val="20"/>
                <w:szCs w:val="20"/>
                <w:shd w:val="clear" w:color="auto" w:fill="FFFFFF"/>
              </w:rPr>
              <w:t>Co., Ltd.</w:t>
            </w:r>
          </w:p>
        </w:tc>
        <w:tc>
          <w:tcPr>
            <w:tcW w:w="2012" w:type="dxa"/>
            <w:shd w:val="clear" w:color="auto" w:fill="auto"/>
            <w:noWrap/>
          </w:tcPr>
          <w:p w14:paraId="71C559AF"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7E9596BF" w14:textId="77777777" w:rsidTr="00BB5664">
        <w:trPr>
          <w:trHeight w:val="293"/>
          <w:jc w:val="center"/>
        </w:trPr>
        <w:tc>
          <w:tcPr>
            <w:tcW w:w="837" w:type="dxa"/>
            <w:shd w:val="clear" w:color="auto" w:fill="auto"/>
            <w:vAlign w:val="center"/>
          </w:tcPr>
          <w:p w14:paraId="38461CF1"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2</w:t>
            </w:r>
          </w:p>
        </w:tc>
        <w:tc>
          <w:tcPr>
            <w:tcW w:w="5501" w:type="dxa"/>
            <w:shd w:val="clear" w:color="auto" w:fill="auto"/>
            <w:noWrap/>
            <w:vAlign w:val="center"/>
          </w:tcPr>
          <w:p w14:paraId="74D10EA2"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 xml:space="preserve">Fubon Financial Holdings </w:t>
            </w:r>
            <w:r w:rsidRPr="008A2991">
              <w:rPr>
                <w:rFonts w:ascii="Times New Roman" w:eastAsia="標楷體" w:hAnsi="Times New Roman" w:cs="Times New Roman"/>
                <w:sz w:val="20"/>
                <w:szCs w:val="20"/>
                <w:shd w:val="clear" w:color="auto" w:fill="FFFFFF"/>
              </w:rPr>
              <w:t>Co., Ltd.</w:t>
            </w:r>
          </w:p>
        </w:tc>
        <w:tc>
          <w:tcPr>
            <w:tcW w:w="2012" w:type="dxa"/>
            <w:shd w:val="clear" w:color="auto" w:fill="auto"/>
            <w:noWrap/>
          </w:tcPr>
          <w:p w14:paraId="132B48D4"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6D21A998" w14:textId="77777777" w:rsidTr="00BB5664">
        <w:trPr>
          <w:trHeight w:val="293"/>
          <w:jc w:val="center"/>
        </w:trPr>
        <w:tc>
          <w:tcPr>
            <w:tcW w:w="837" w:type="dxa"/>
            <w:shd w:val="clear" w:color="auto" w:fill="auto"/>
            <w:vAlign w:val="center"/>
          </w:tcPr>
          <w:p w14:paraId="4BC52442"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3</w:t>
            </w:r>
          </w:p>
        </w:tc>
        <w:tc>
          <w:tcPr>
            <w:tcW w:w="5501" w:type="dxa"/>
            <w:shd w:val="clear" w:color="auto" w:fill="auto"/>
            <w:noWrap/>
            <w:vAlign w:val="center"/>
          </w:tcPr>
          <w:p w14:paraId="650CD004"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 xml:space="preserve">China Development Finance Holdings </w:t>
            </w:r>
            <w:r w:rsidRPr="008A2991">
              <w:rPr>
                <w:rFonts w:ascii="Times New Roman" w:eastAsia="標楷體" w:hAnsi="Times New Roman" w:cs="Times New Roman"/>
                <w:sz w:val="20"/>
                <w:szCs w:val="20"/>
                <w:shd w:val="clear" w:color="auto" w:fill="FFFFFF"/>
              </w:rPr>
              <w:t>Co.</w:t>
            </w:r>
            <w:bookmarkStart w:id="2" w:name="_Hlk64546422"/>
            <w:r w:rsidRPr="008A2991">
              <w:rPr>
                <w:rFonts w:ascii="Times New Roman" w:eastAsia="標楷體" w:hAnsi="Times New Roman" w:cs="Times New Roman"/>
                <w:sz w:val="20"/>
                <w:szCs w:val="20"/>
                <w:shd w:val="clear" w:color="auto" w:fill="FFFFFF"/>
              </w:rPr>
              <w:t>, Ltd.</w:t>
            </w:r>
          </w:p>
        </w:tc>
        <w:tc>
          <w:tcPr>
            <w:tcW w:w="2012" w:type="dxa"/>
            <w:shd w:val="clear" w:color="auto" w:fill="auto"/>
            <w:noWrap/>
          </w:tcPr>
          <w:p w14:paraId="379513B4"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783051F2" w14:textId="77777777" w:rsidTr="00BB5664">
        <w:trPr>
          <w:trHeight w:val="293"/>
          <w:jc w:val="center"/>
        </w:trPr>
        <w:tc>
          <w:tcPr>
            <w:tcW w:w="837" w:type="dxa"/>
            <w:shd w:val="clear" w:color="auto" w:fill="auto"/>
            <w:vAlign w:val="center"/>
          </w:tcPr>
          <w:p w14:paraId="3F7417D1"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4</w:t>
            </w:r>
          </w:p>
        </w:tc>
        <w:tc>
          <w:tcPr>
            <w:tcW w:w="5501" w:type="dxa"/>
            <w:shd w:val="clear" w:color="auto" w:fill="auto"/>
            <w:noWrap/>
            <w:vAlign w:val="center"/>
          </w:tcPr>
          <w:p w14:paraId="63C28078" w14:textId="1A3B135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Cathay Financia</w:t>
            </w:r>
            <w:bookmarkEnd w:id="2"/>
            <w:r w:rsidRPr="008A2991">
              <w:rPr>
                <w:rFonts w:ascii="Times New Roman" w:eastAsia="標楷體" w:hAnsi="Times New Roman" w:cs="Times New Roman"/>
                <w:sz w:val="20"/>
                <w:szCs w:val="20"/>
              </w:rPr>
              <w:t>l Holdings Co., Ltd.</w:t>
            </w:r>
          </w:p>
        </w:tc>
        <w:tc>
          <w:tcPr>
            <w:tcW w:w="2012" w:type="dxa"/>
            <w:shd w:val="clear" w:color="auto" w:fill="auto"/>
            <w:noWrap/>
          </w:tcPr>
          <w:p w14:paraId="37C769BD"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48594448" w14:textId="77777777" w:rsidTr="00BB5664">
        <w:trPr>
          <w:trHeight w:val="293"/>
          <w:jc w:val="center"/>
        </w:trPr>
        <w:tc>
          <w:tcPr>
            <w:tcW w:w="837" w:type="dxa"/>
            <w:shd w:val="clear" w:color="auto" w:fill="auto"/>
            <w:vAlign w:val="center"/>
          </w:tcPr>
          <w:p w14:paraId="70C4AC65"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lastRenderedPageBreak/>
              <w:t>5</w:t>
            </w:r>
          </w:p>
        </w:tc>
        <w:tc>
          <w:tcPr>
            <w:tcW w:w="5501" w:type="dxa"/>
            <w:shd w:val="clear" w:color="auto" w:fill="auto"/>
            <w:noWrap/>
            <w:vAlign w:val="center"/>
          </w:tcPr>
          <w:p w14:paraId="441685B8"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CTBC Financial Holding Co., Ltd.</w:t>
            </w:r>
          </w:p>
        </w:tc>
        <w:tc>
          <w:tcPr>
            <w:tcW w:w="2012" w:type="dxa"/>
            <w:shd w:val="clear" w:color="auto" w:fill="auto"/>
            <w:noWrap/>
          </w:tcPr>
          <w:p w14:paraId="2F14B465"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7945AB9D" w14:textId="77777777" w:rsidTr="00BB5664">
        <w:trPr>
          <w:trHeight w:val="293"/>
          <w:jc w:val="center"/>
        </w:trPr>
        <w:tc>
          <w:tcPr>
            <w:tcW w:w="837" w:type="dxa"/>
            <w:shd w:val="clear" w:color="auto" w:fill="auto"/>
            <w:vAlign w:val="center"/>
          </w:tcPr>
          <w:p w14:paraId="239D63D6"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6</w:t>
            </w:r>
          </w:p>
        </w:tc>
        <w:tc>
          <w:tcPr>
            <w:tcW w:w="5501" w:type="dxa"/>
            <w:shd w:val="clear" w:color="auto" w:fill="auto"/>
            <w:noWrap/>
            <w:vAlign w:val="center"/>
          </w:tcPr>
          <w:p w14:paraId="680BCEDF"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Sino-Pac Financial Holdings Co., Ltd.</w:t>
            </w:r>
          </w:p>
        </w:tc>
        <w:tc>
          <w:tcPr>
            <w:tcW w:w="2012" w:type="dxa"/>
            <w:shd w:val="clear" w:color="auto" w:fill="auto"/>
            <w:noWrap/>
          </w:tcPr>
          <w:p w14:paraId="280C41D1"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6C734590" w14:textId="77777777" w:rsidTr="00BB5664">
        <w:trPr>
          <w:trHeight w:val="293"/>
          <w:jc w:val="center"/>
        </w:trPr>
        <w:tc>
          <w:tcPr>
            <w:tcW w:w="837" w:type="dxa"/>
            <w:shd w:val="clear" w:color="auto" w:fill="auto"/>
            <w:vAlign w:val="center"/>
          </w:tcPr>
          <w:p w14:paraId="00D5AB30"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7</w:t>
            </w:r>
          </w:p>
        </w:tc>
        <w:tc>
          <w:tcPr>
            <w:tcW w:w="5501" w:type="dxa"/>
            <w:shd w:val="clear" w:color="auto" w:fill="auto"/>
            <w:noWrap/>
            <w:vAlign w:val="center"/>
          </w:tcPr>
          <w:p w14:paraId="2014FB60"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E.SUN Financial Holdings Co., Ltd.</w:t>
            </w:r>
          </w:p>
        </w:tc>
        <w:tc>
          <w:tcPr>
            <w:tcW w:w="2012" w:type="dxa"/>
            <w:shd w:val="clear" w:color="auto" w:fill="auto"/>
            <w:noWrap/>
          </w:tcPr>
          <w:p w14:paraId="5FFC486C"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2A071784" w14:textId="77777777" w:rsidTr="00BB5664">
        <w:trPr>
          <w:trHeight w:val="293"/>
          <w:jc w:val="center"/>
        </w:trPr>
        <w:tc>
          <w:tcPr>
            <w:tcW w:w="837" w:type="dxa"/>
            <w:shd w:val="clear" w:color="auto" w:fill="auto"/>
            <w:vAlign w:val="center"/>
          </w:tcPr>
          <w:p w14:paraId="1D40A43E"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8</w:t>
            </w:r>
          </w:p>
        </w:tc>
        <w:tc>
          <w:tcPr>
            <w:tcW w:w="5501" w:type="dxa"/>
            <w:shd w:val="clear" w:color="auto" w:fill="auto"/>
            <w:noWrap/>
            <w:vAlign w:val="center"/>
          </w:tcPr>
          <w:p w14:paraId="53E9ACF9"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Yuana Financial Holdings</w:t>
            </w:r>
            <w:r w:rsidRPr="008A2991">
              <w:rPr>
                <w:rFonts w:ascii="Times New Roman" w:eastAsia="標楷體" w:hAnsi="Times New Roman" w:cs="Times New Roman"/>
                <w:sz w:val="20"/>
                <w:szCs w:val="20"/>
                <w:shd w:val="clear" w:color="auto" w:fill="FFFFFF"/>
              </w:rPr>
              <w:t xml:space="preserve"> Co., Ltd.</w:t>
            </w:r>
          </w:p>
        </w:tc>
        <w:tc>
          <w:tcPr>
            <w:tcW w:w="2012" w:type="dxa"/>
            <w:shd w:val="clear" w:color="auto" w:fill="auto"/>
            <w:noWrap/>
          </w:tcPr>
          <w:p w14:paraId="469DAD1D"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137361B9" w14:textId="77777777" w:rsidTr="00BB5664">
        <w:trPr>
          <w:trHeight w:val="293"/>
          <w:jc w:val="center"/>
        </w:trPr>
        <w:tc>
          <w:tcPr>
            <w:tcW w:w="837" w:type="dxa"/>
            <w:shd w:val="clear" w:color="auto" w:fill="auto"/>
            <w:vAlign w:val="center"/>
          </w:tcPr>
          <w:p w14:paraId="6D1DDE98"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9</w:t>
            </w:r>
          </w:p>
        </w:tc>
        <w:tc>
          <w:tcPr>
            <w:tcW w:w="5501" w:type="dxa"/>
            <w:shd w:val="clear" w:color="auto" w:fill="auto"/>
            <w:noWrap/>
            <w:vAlign w:val="center"/>
          </w:tcPr>
          <w:p w14:paraId="2DF15D8A"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Taishin Financial Holdings Co., Ltd.</w:t>
            </w:r>
          </w:p>
        </w:tc>
        <w:tc>
          <w:tcPr>
            <w:tcW w:w="2012" w:type="dxa"/>
            <w:shd w:val="clear" w:color="auto" w:fill="auto"/>
            <w:noWrap/>
          </w:tcPr>
          <w:p w14:paraId="1F9E3567" w14:textId="77777777" w:rsidR="0082506C" w:rsidRPr="008A2991" w:rsidRDefault="0082506C" w:rsidP="00EC6455">
            <w:pPr>
              <w:spacing w:after="60"/>
              <w:jc w:val="center"/>
              <w:rPr>
                <w:rFonts w:ascii="Times New Roman" w:eastAsia="標楷體" w:hAnsi="Times New Roman" w:cs="Times New Roman"/>
                <w:sz w:val="20"/>
                <w:szCs w:val="20"/>
              </w:rPr>
            </w:pPr>
            <w:bookmarkStart w:id="3" w:name="OLE_LINK115"/>
            <w:bookmarkStart w:id="4" w:name="OLE_LINK116"/>
            <w:r w:rsidRPr="008A2991">
              <w:rPr>
                <w:rFonts w:ascii="Times New Roman" w:eastAsia="標楷體" w:hAnsi="Times New Roman" w:cs="Times New Roman"/>
                <w:sz w:val="20"/>
                <w:szCs w:val="20"/>
              </w:rPr>
              <w:t>Yes</w:t>
            </w:r>
            <w:bookmarkEnd w:id="3"/>
            <w:bookmarkEnd w:id="4"/>
          </w:p>
        </w:tc>
      </w:tr>
      <w:tr w:rsidR="0082506C" w:rsidRPr="008A2991" w14:paraId="15A199F5" w14:textId="77777777" w:rsidTr="00BB5664">
        <w:trPr>
          <w:trHeight w:val="293"/>
          <w:jc w:val="center"/>
        </w:trPr>
        <w:tc>
          <w:tcPr>
            <w:tcW w:w="837" w:type="dxa"/>
            <w:shd w:val="clear" w:color="auto" w:fill="auto"/>
            <w:vAlign w:val="center"/>
          </w:tcPr>
          <w:p w14:paraId="4C78BD9D"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10</w:t>
            </w:r>
          </w:p>
        </w:tc>
        <w:tc>
          <w:tcPr>
            <w:tcW w:w="5501" w:type="dxa"/>
            <w:shd w:val="clear" w:color="auto" w:fill="auto"/>
            <w:noWrap/>
            <w:vAlign w:val="center"/>
          </w:tcPr>
          <w:p w14:paraId="4F0F0DD8"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Shin-Kong Financial Holdings Co., Ltd.</w:t>
            </w:r>
          </w:p>
        </w:tc>
        <w:tc>
          <w:tcPr>
            <w:tcW w:w="2012" w:type="dxa"/>
            <w:shd w:val="clear" w:color="auto" w:fill="auto"/>
            <w:noWrap/>
          </w:tcPr>
          <w:p w14:paraId="0F930132"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38FCC74F" w14:textId="77777777" w:rsidTr="00BB5664">
        <w:trPr>
          <w:trHeight w:val="293"/>
          <w:jc w:val="center"/>
        </w:trPr>
        <w:tc>
          <w:tcPr>
            <w:tcW w:w="837" w:type="dxa"/>
            <w:shd w:val="clear" w:color="auto" w:fill="auto"/>
            <w:vAlign w:val="center"/>
          </w:tcPr>
          <w:p w14:paraId="739C07B8"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11</w:t>
            </w:r>
          </w:p>
        </w:tc>
        <w:tc>
          <w:tcPr>
            <w:tcW w:w="5501" w:type="dxa"/>
            <w:shd w:val="clear" w:color="auto" w:fill="auto"/>
            <w:noWrap/>
            <w:vAlign w:val="center"/>
          </w:tcPr>
          <w:p w14:paraId="43E11521"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Mega Financial Holdings</w:t>
            </w:r>
            <w:r w:rsidRPr="008A2991">
              <w:rPr>
                <w:rFonts w:ascii="Times New Roman" w:eastAsia="標楷體" w:hAnsi="Times New Roman" w:cs="Times New Roman"/>
                <w:sz w:val="20"/>
                <w:szCs w:val="20"/>
                <w:shd w:val="clear" w:color="auto" w:fill="FFFFFF"/>
              </w:rPr>
              <w:t xml:space="preserve"> Co., Ltd.</w:t>
            </w:r>
          </w:p>
        </w:tc>
        <w:tc>
          <w:tcPr>
            <w:tcW w:w="2012" w:type="dxa"/>
            <w:shd w:val="clear" w:color="auto" w:fill="auto"/>
            <w:noWrap/>
          </w:tcPr>
          <w:p w14:paraId="2CF4736C"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2ACF651D" w14:textId="77777777" w:rsidTr="00BB5664">
        <w:trPr>
          <w:trHeight w:val="293"/>
          <w:jc w:val="center"/>
        </w:trPr>
        <w:tc>
          <w:tcPr>
            <w:tcW w:w="837" w:type="dxa"/>
            <w:shd w:val="clear" w:color="auto" w:fill="auto"/>
            <w:vAlign w:val="center"/>
          </w:tcPr>
          <w:p w14:paraId="5476E9B4"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12</w:t>
            </w:r>
          </w:p>
        </w:tc>
        <w:tc>
          <w:tcPr>
            <w:tcW w:w="5501" w:type="dxa"/>
            <w:shd w:val="clear" w:color="auto" w:fill="auto"/>
            <w:noWrap/>
            <w:vAlign w:val="center"/>
          </w:tcPr>
          <w:p w14:paraId="70F08D95"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First Financial Holdings</w:t>
            </w:r>
            <w:r w:rsidRPr="008A2991">
              <w:rPr>
                <w:rFonts w:ascii="Times New Roman" w:eastAsia="標楷體" w:hAnsi="Times New Roman" w:cs="Times New Roman"/>
                <w:sz w:val="20"/>
                <w:szCs w:val="20"/>
                <w:shd w:val="clear" w:color="auto" w:fill="FFFFFF"/>
              </w:rPr>
              <w:t xml:space="preserve"> Co., Ltd.</w:t>
            </w:r>
          </w:p>
        </w:tc>
        <w:tc>
          <w:tcPr>
            <w:tcW w:w="2012" w:type="dxa"/>
            <w:shd w:val="clear" w:color="auto" w:fill="auto"/>
            <w:noWrap/>
          </w:tcPr>
          <w:p w14:paraId="57747C3F"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1C635945" w14:textId="77777777" w:rsidTr="00BB5664">
        <w:trPr>
          <w:trHeight w:val="293"/>
          <w:jc w:val="center"/>
        </w:trPr>
        <w:tc>
          <w:tcPr>
            <w:tcW w:w="837" w:type="dxa"/>
            <w:shd w:val="clear" w:color="auto" w:fill="auto"/>
            <w:vAlign w:val="center"/>
          </w:tcPr>
          <w:p w14:paraId="7166D669"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13</w:t>
            </w:r>
          </w:p>
        </w:tc>
        <w:tc>
          <w:tcPr>
            <w:tcW w:w="5501" w:type="dxa"/>
            <w:shd w:val="clear" w:color="auto" w:fill="auto"/>
            <w:noWrap/>
            <w:vAlign w:val="center"/>
          </w:tcPr>
          <w:p w14:paraId="113C61EC"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shd w:val="clear" w:color="auto" w:fill="FFFFFF"/>
              </w:rPr>
              <w:t>Jih-Sun Financial Holdings Co., Ltd.</w:t>
            </w:r>
          </w:p>
        </w:tc>
        <w:tc>
          <w:tcPr>
            <w:tcW w:w="2012" w:type="dxa"/>
            <w:shd w:val="clear" w:color="auto" w:fill="auto"/>
            <w:noWrap/>
          </w:tcPr>
          <w:p w14:paraId="5485643D"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0659DB7F" w14:textId="77777777" w:rsidTr="00BB5664">
        <w:trPr>
          <w:trHeight w:val="293"/>
          <w:jc w:val="center"/>
        </w:trPr>
        <w:tc>
          <w:tcPr>
            <w:tcW w:w="837" w:type="dxa"/>
            <w:shd w:val="clear" w:color="auto" w:fill="auto"/>
            <w:vAlign w:val="center"/>
          </w:tcPr>
          <w:p w14:paraId="2A646F21"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14</w:t>
            </w:r>
          </w:p>
        </w:tc>
        <w:tc>
          <w:tcPr>
            <w:tcW w:w="5501" w:type="dxa"/>
            <w:shd w:val="clear" w:color="auto" w:fill="auto"/>
            <w:noWrap/>
            <w:vAlign w:val="center"/>
          </w:tcPr>
          <w:p w14:paraId="6A080E44" w14:textId="77777777" w:rsidR="0082506C" w:rsidRPr="008A2991" w:rsidRDefault="0082506C" w:rsidP="00EC6455">
            <w:pPr>
              <w:spacing w:after="60"/>
              <w:jc w:val="both"/>
              <w:rPr>
                <w:rFonts w:ascii="Times New Roman" w:eastAsia="標楷體" w:hAnsi="Times New Roman" w:cs="Times New Roman"/>
                <w:sz w:val="20"/>
                <w:szCs w:val="20"/>
              </w:rPr>
            </w:pPr>
            <w:r w:rsidRPr="008A2991">
              <w:rPr>
                <w:rFonts w:ascii="Times New Roman" w:eastAsia="標楷體" w:hAnsi="Times New Roman" w:cs="Times New Roman"/>
                <w:sz w:val="20"/>
                <w:szCs w:val="20"/>
              </w:rPr>
              <w:t>Taiwan Financial Holdings Co., Ltd.</w:t>
            </w:r>
          </w:p>
        </w:tc>
        <w:tc>
          <w:tcPr>
            <w:tcW w:w="2012" w:type="dxa"/>
            <w:shd w:val="clear" w:color="auto" w:fill="auto"/>
            <w:noWrap/>
          </w:tcPr>
          <w:p w14:paraId="52183945"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52E468D0" w14:textId="77777777" w:rsidTr="00BB5664">
        <w:trPr>
          <w:trHeight w:val="293"/>
          <w:jc w:val="center"/>
        </w:trPr>
        <w:tc>
          <w:tcPr>
            <w:tcW w:w="837" w:type="dxa"/>
            <w:shd w:val="clear" w:color="auto" w:fill="auto"/>
            <w:vAlign w:val="center"/>
          </w:tcPr>
          <w:p w14:paraId="404638EE"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15</w:t>
            </w:r>
          </w:p>
        </w:tc>
        <w:tc>
          <w:tcPr>
            <w:tcW w:w="5501" w:type="dxa"/>
            <w:shd w:val="clear" w:color="auto" w:fill="auto"/>
            <w:noWrap/>
            <w:vAlign w:val="center"/>
          </w:tcPr>
          <w:p w14:paraId="6102D93A" w14:textId="77777777" w:rsidR="0082506C" w:rsidRPr="008A2991" w:rsidRDefault="0082506C" w:rsidP="00EC6455">
            <w:pPr>
              <w:pStyle w:val="1main-text"/>
              <w:spacing w:after="60" w:line="240" w:lineRule="auto"/>
              <w:rPr>
                <w:rFonts w:eastAsia="標楷體"/>
              </w:rPr>
            </w:pPr>
            <w:r w:rsidRPr="008A2991">
              <w:rPr>
                <w:rFonts w:eastAsia="標楷體"/>
              </w:rPr>
              <w:t>Cooperative Treasury Financial Holdings Co., Ltd.</w:t>
            </w:r>
          </w:p>
        </w:tc>
        <w:tc>
          <w:tcPr>
            <w:tcW w:w="2012" w:type="dxa"/>
            <w:shd w:val="clear" w:color="auto" w:fill="auto"/>
            <w:noWrap/>
          </w:tcPr>
          <w:p w14:paraId="45546CF2" w14:textId="77777777" w:rsidR="0082506C" w:rsidRPr="008A2991" w:rsidRDefault="0082506C"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Yes</w:t>
            </w:r>
          </w:p>
        </w:tc>
      </w:tr>
      <w:tr w:rsidR="0082506C" w:rsidRPr="008A2991" w14:paraId="11C7556F" w14:textId="77777777" w:rsidTr="00BB5664">
        <w:trPr>
          <w:trHeight w:val="293"/>
          <w:jc w:val="center"/>
        </w:trPr>
        <w:tc>
          <w:tcPr>
            <w:tcW w:w="837" w:type="dxa"/>
            <w:shd w:val="clear" w:color="auto" w:fill="auto"/>
            <w:vAlign w:val="center"/>
          </w:tcPr>
          <w:p w14:paraId="1F95D8CB" w14:textId="77777777" w:rsidR="0082506C" w:rsidRPr="008A2991" w:rsidRDefault="0082506C" w:rsidP="00EC6455">
            <w:pPr>
              <w:spacing w:after="60"/>
              <w:jc w:val="center"/>
              <w:rPr>
                <w:rFonts w:ascii="Times New Roman" w:eastAsia="標楷體" w:hAnsi="Times New Roman" w:cs="Times New Roman"/>
                <w:b/>
                <w:bCs/>
                <w:sz w:val="20"/>
                <w:szCs w:val="20"/>
              </w:rPr>
            </w:pPr>
            <w:r w:rsidRPr="008A2991">
              <w:rPr>
                <w:rFonts w:ascii="Times New Roman" w:eastAsia="標楷體" w:hAnsi="Times New Roman" w:cs="Times New Roman"/>
                <w:b/>
                <w:bCs/>
                <w:sz w:val="20"/>
                <w:szCs w:val="20"/>
              </w:rPr>
              <w:t>16</w:t>
            </w:r>
          </w:p>
        </w:tc>
        <w:tc>
          <w:tcPr>
            <w:tcW w:w="5501" w:type="dxa"/>
            <w:shd w:val="clear" w:color="auto" w:fill="auto"/>
            <w:noWrap/>
            <w:vAlign w:val="center"/>
          </w:tcPr>
          <w:p w14:paraId="52AAA66E" w14:textId="77777777" w:rsidR="0082506C" w:rsidRPr="008A2991" w:rsidRDefault="0082506C" w:rsidP="00EC6455">
            <w:pPr>
              <w:pStyle w:val="1main-text"/>
              <w:spacing w:after="60" w:line="240" w:lineRule="auto"/>
              <w:rPr>
                <w:rFonts w:eastAsia="標楷體"/>
              </w:rPr>
            </w:pPr>
            <w:r w:rsidRPr="008A2991">
              <w:rPr>
                <w:rFonts w:eastAsia="標楷體"/>
              </w:rPr>
              <w:t>Guopiao Financial Holdings</w:t>
            </w:r>
            <w:r w:rsidRPr="008A2991">
              <w:rPr>
                <w:rFonts w:eastAsia="標楷體"/>
                <w:lang w:eastAsia="zh-TW"/>
              </w:rPr>
              <w:t xml:space="preserve"> </w:t>
            </w:r>
            <w:r w:rsidRPr="008A2991">
              <w:rPr>
                <w:rFonts w:eastAsia="標楷體"/>
                <w:shd w:val="clear" w:color="auto" w:fill="FFFFFF"/>
              </w:rPr>
              <w:t>Co., Ltd.</w:t>
            </w:r>
          </w:p>
        </w:tc>
        <w:tc>
          <w:tcPr>
            <w:tcW w:w="2012" w:type="dxa"/>
            <w:shd w:val="clear" w:color="auto" w:fill="auto"/>
            <w:noWrap/>
          </w:tcPr>
          <w:p w14:paraId="77BFBD1F" w14:textId="0A5E3389" w:rsidR="0082506C" w:rsidRPr="008A2991" w:rsidRDefault="009A75C6" w:rsidP="00EC6455">
            <w:pPr>
              <w:spacing w:after="60"/>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No</w:t>
            </w:r>
          </w:p>
        </w:tc>
      </w:tr>
    </w:tbl>
    <w:p w14:paraId="272550E0" w14:textId="5AEBBDF9" w:rsidR="0082506C" w:rsidRPr="006938DA" w:rsidRDefault="0082506C" w:rsidP="00BB5664">
      <w:pPr>
        <w:rPr>
          <w:rFonts w:ascii="Times New Roman" w:hAnsi="Times New Roman" w:cs="Times New Roman"/>
          <w:sz w:val="18"/>
          <w:szCs w:val="18"/>
        </w:rPr>
      </w:pPr>
      <w:r w:rsidRPr="006938DA">
        <w:rPr>
          <w:rFonts w:ascii="Times New Roman" w:hAnsi="Times New Roman" w:cs="Times New Roman"/>
          <w:sz w:val="18"/>
          <w:szCs w:val="18"/>
        </w:rPr>
        <w:t xml:space="preserve">Source: Authors' </w:t>
      </w:r>
      <w:r w:rsidR="00B22011" w:rsidRPr="006938DA">
        <w:rPr>
          <w:rFonts w:ascii="Times New Roman" w:hAnsi="Times New Roman" w:cs="Times New Roman"/>
          <w:sz w:val="18"/>
          <w:szCs w:val="18"/>
        </w:rPr>
        <w:t>c</w:t>
      </w:r>
      <w:r w:rsidRPr="006938DA">
        <w:rPr>
          <w:rFonts w:ascii="Times New Roman" w:hAnsi="Times New Roman" w:cs="Times New Roman"/>
          <w:sz w:val="18"/>
          <w:szCs w:val="18"/>
        </w:rPr>
        <w:t>ompilation</w:t>
      </w:r>
    </w:p>
    <w:p w14:paraId="5D9C7B23" w14:textId="59ABEDAD" w:rsidR="0082506C" w:rsidRPr="007F3F9C" w:rsidRDefault="0082506C" w:rsidP="00437EE1">
      <w:pPr>
        <w:pStyle w:val="Heading11"/>
        <w:numPr>
          <w:ilvl w:val="2"/>
          <w:numId w:val="1"/>
        </w:numPr>
        <w:spacing w:before="100" w:after="100"/>
        <w:ind w:left="0" w:firstLine="0"/>
        <w:rPr>
          <w:rFonts w:ascii="Times New Roman" w:hAnsi="Times New Roman" w:cs="Times New Roman"/>
          <w:b w:val="0"/>
          <w:bCs w:val="0"/>
          <w:sz w:val="22"/>
          <w:szCs w:val="22"/>
        </w:rPr>
      </w:pPr>
      <w:r w:rsidRPr="007F3F9C">
        <w:rPr>
          <w:rFonts w:ascii="Times New Roman" w:hAnsi="Times New Roman" w:cs="Times New Roman"/>
          <w:b w:val="0"/>
          <w:bCs w:val="0"/>
          <w:sz w:val="22"/>
          <w:szCs w:val="22"/>
        </w:rPr>
        <w:t>Definition Variables</w:t>
      </w:r>
      <w:r w:rsidR="00605D8C">
        <w:rPr>
          <w:rFonts w:ascii="Times New Roman" w:hAnsi="Times New Roman" w:cs="Times New Roman"/>
          <w:b w:val="0"/>
          <w:bCs w:val="0"/>
          <w:sz w:val="22"/>
          <w:szCs w:val="22"/>
        </w:rPr>
        <w:t xml:space="preserve"> </w:t>
      </w:r>
    </w:p>
    <w:p w14:paraId="572CDEC8" w14:textId="1E786346" w:rsidR="0082506C" w:rsidRPr="008A2991" w:rsidRDefault="0082506C"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Before establishing the empirical model, we list</w:t>
      </w:r>
      <w:r w:rsidR="00A379EB" w:rsidRPr="008A2991">
        <w:rPr>
          <w:rFonts w:ascii="Times New Roman" w:hAnsi="Times New Roman" w:cs="Times New Roman"/>
          <w:sz w:val="20"/>
          <w:szCs w:val="20"/>
        </w:rPr>
        <w:t>ed</w:t>
      </w:r>
      <w:r w:rsidRPr="008A2991">
        <w:rPr>
          <w:rFonts w:ascii="Times New Roman" w:hAnsi="Times New Roman" w:cs="Times New Roman"/>
          <w:sz w:val="20"/>
          <w:szCs w:val="20"/>
        </w:rPr>
        <w:t xml:space="preserve"> as many preliminary assessment factors as possible. Therefore, th</w:t>
      </w:r>
      <w:r w:rsidR="00C408C9" w:rsidRPr="008A2991">
        <w:rPr>
          <w:rFonts w:ascii="Times New Roman" w:hAnsi="Times New Roman" w:cs="Times New Roman"/>
          <w:sz w:val="20"/>
          <w:szCs w:val="20"/>
        </w:rPr>
        <w:t>e</w:t>
      </w:r>
      <w:r w:rsidRPr="008A2991">
        <w:rPr>
          <w:rFonts w:ascii="Times New Roman" w:hAnsi="Times New Roman" w:cs="Times New Roman"/>
          <w:sz w:val="20"/>
          <w:szCs w:val="20"/>
        </w:rPr>
        <w:t xml:space="preserve"> research</w:t>
      </w:r>
      <w:r w:rsidR="00C408C9" w:rsidRPr="008A2991">
        <w:rPr>
          <w:rFonts w:ascii="Times New Roman" w:hAnsi="Times New Roman" w:cs="Times New Roman"/>
          <w:sz w:val="20"/>
          <w:szCs w:val="20"/>
        </w:rPr>
        <w:t>ers</w:t>
      </w:r>
      <w:r w:rsidRPr="008A2991">
        <w:rPr>
          <w:rFonts w:ascii="Times New Roman" w:hAnsi="Times New Roman" w:cs="Times New Roman"/>
          <w:sz w:val="20"/>
          <w:szCs w:val="20"/>
        </w:rPr>
        <w:t xml:space="preserve"> refer</w:t>
      </w:r>
      <w:r w:rsidR="00C408C9" w:rsidRPr="008A2991">
        <w:rPr>
          <w:rFonts w:ascii="Times New Roman" w:hAnsi="Times New Roman" w:cs="Times New Roman"/>
          <w:sz w:val="20"/>
          <w:szCs w:val="20"/>
        </w:rPr>
        <w:t>red</w:t>
      </w:r>
      <w:r w:rsidRPr="008A2991">
        <w:rPr>
          <w:rFonts w:ascii="Times New Roman" w:hAnsi="Times New Roman" w:cs="Times New Roman"/>
          <w:sz w:val="20"/>
          <w:szCs w:val="20"/>
        </w:rPr>
        <w:t xml:space="preserve"> to TFSC (2020) statistics reports and various financial holding websites to list the impact variables used for </w:t>
      </w:r>
      <w:r w:rsidR="00A379EB" w:rsidRPr="008A2991">
        <w:rPr>
          <w:rFonts w:ascii="Times New Roman" w:hAnsi="Times New Roman" w:cs="Times New Roman"/>
          <w:sz w:val="20"/>
          <w:szCs w:val="20"/>
        </w:rPr>
        <w:t xml:space="preserve">our </w:t>
      </w:r>
      <w:r w:rsidR="00F20808" w:rsidRPr="008A2991">
        <w:rPr>
          <w:rFonts w:ascii="Times New Roman" w:hAnsi="Times New Roman" w:cs="Times New Roman"/>
          <w:sz w:val="20"/>
          <w:szCs w:val="20"/>
        </w:rPr>
        <w:t>PCA</w:t>
      </w:r>
      <w:r w:rsidRPr="008A2991">
        <w:rPr>
          <w:rFonts w:ascii="Times New Roman" w:hAnsi="Times New Roman" w:cs="Times New Roman"/>
          <w:sz w:val="20"/>
          <w:szCs w:val="20"/>
        </w:rPr>
        <w:t xml:space="preserve"> methodology analysis. The variables of this study are as follows:</w:t>
      </w:r>
    </w:p>
    <w:p w14:paraId="6F6B7C2A" w14:textId="51C86798"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bookmarkStart w:id="5" w:name="_Hlk78042857"/>
      <w:r w:rsidRPr="008A2991">
        <w:rPr>
          <w:rFonts w:ascii="Times New Roman" w:hAnsi="Times New Roman" w:cs="Times New Roman"/>
          <w:sz w:val="20"/>
          <w:szCs w:val="20"/>
        </w:rPr>
        <w:t>Digital account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r w:rsidRPr="008A2991">
        <w:rPr>
          <w:rFonts w:ascii="Times New Roman" w:hAnsi="Times New Roman" w:cs="Times New Roman"/>
          <w:sz w:val="20"/>
          <w:szCs w:val="20"/>
        </w:rPr>
        <w:t xml:space="preserve">): </w:t>
      </w:r>
      <w:r w:rsidR="00D6002B" w:rsidRPr="008A2991">
        <w:rPr>
          <w:rFonts w:ascii="Times New Roman" w:hAnsi="Times New Roman" w:cs="Times New Roman"/>
          <w:sz w:val="20"/>
          <w:szCs w:val="20"/>
        </w:rPr>
        <w:t>An a</w:t>
      </w:r>
      <w:r w:rsidRPr="008A2991">
        <w:rPr>
          <w:rFonts w:ascii="Times New Roman" w:hAnsi="Times New Roman" w:cs="Times New Roman"/>
          <w:sz w:val="20"/>
          <w:szCs w:val="20"/>
        </w:rPr>
        <w:t xml:space="preserve">ctual physical passbook does not exist, </w:t>
      </w:r>
      <w:r w:rsidR="00C408C9" w:rsidRPr="008A2991">
        <w:rPr>
          <w:rFonts w:ascii="Times New Roman" w:hAnsi="Times New Roman" w:cs="Times New Roman"/>
          <w:sz w:val="20"/>
          <w:szCs w:val="20"/>
        </w:rPr>
        <w:t>meaning i</w:t>
      </w:r>
      <w:r w:rsidRPr="008A2991">
        <w:rPr>
          <w:rFonts w:ascii="Times New Roman" w:hAnsi="Times New Roman" w:cs="Times New Roman"/>
          <w:sz w:val="20"/>
          <w:szCs w:val="20"/>
        </w:rPr>
        <w:t>nternet operation is required.</w:t>
      </w:r>
    </w:p>
    <w:p w14:paraId="09874B7A" w14:textId="446CEB92"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Card in force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8A2991">
        <w:rPr>
          <w:rFonts w:ascii="Times New Roman" w:hAnsi="Times New Roman" w:cs="Times New Roman"/>
          <w:sz w:val="20"/>
          <w:szCs w:val="20"/>
        </w:rPr>
        <w:t xml:space="preserve">): </w:t>
      </w:r>
      <w:r w:rsidR="00D6002B"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w:t>
      </w:r>
      <w:r w:rsidR="00C408C9" w:rsidRPr="008A2991">
        <w:rPr>
          <w:rFonts w:ascii="Times New Roman" w:hAnsi="Times New Roman" w:cs="Times New Roman"/>
          <w:sz w:val="20"/>
          <w:szCs w:val="20"/>
        </w:rPr>
        <w:t>denotes</w:t>
      </w:r>
      <w:r w:rsidRPr="008A2991">
        <w:rPr>
          <w:rFonts w:ascii="Times New Roman" w:hAnsi="Times New Roman" w:cs="Times New Roman"/>
          <w:sz w:val="20"/>
          <w:szCs w:val="20"/>
        </w:rPr>
        <w:t xml:space="preserve"> the total number of issued cards minus the total number of stopped cards. The card status is normal.</w:t>
      </w:r>
    </w:p>
    <w:p w14:paraId="2667304F" w14:textId="26DE45C5"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Active cards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w:r w:rsidRPr="008A2991">
        <w:rPr>
          <w:rFonts w:ascii="Times New Roman" w:hAnsi="Times New Roman" w:cs="Times New Roman"/>
          <w:sz w:val="20"/>
          <w:szCs w:val="20"/>
        </w:rPr>
        <w:t xml:space="preserve">): </w:t>
      </w:r>
      <w:bookmarkStart w:id="6" w:name="OLE_LINK122"/>
      <w:bookmarkStart w:id="7" w:name="OLE_LINK123"/>
      <w:r w:rsidR="00D6002B"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w:t>
      </w:r>
      <w:r w:rsidR="00C408C9" w:rsidRPr="008A2991">
        <w:rPr>
          <w:rFonts w:ascii="Times New Roman" w:hAnsi="Times New Roman" w:cs="Times New Roman"/>
          <w:sz w:val="20"/>
          <w:szCs w:val="20"/>
        </w:rPr>
        <w:t xml:space="preserve">denotes </w:t>
      </w:r>
      <w:bookmarkEnd w:id="6"/>
      <w:bookmarkEnd w:id="7"/>
      <w:r w:rsidRPr="008A2991">
        <w:rPr>
          <w:rFonts w:ascii="Times New Roman" w:hAnsi="Times New Roman" w:cs="Times New Roman"/>
          <w:sz w:val="20"/>
          <w:szCs w:val="20"/>
        </w:rPr>
        <w:t>cards with spending records in the last six months.</w:t>
      </w:r>
    </w:p>
    <w:p w14:paraId="5FB507E3" w14:textId="3F4EB5B5"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shd w:val="clear" w:color="auto" w:fill="FFFFFF"/>
        </w:rPr>
        <w:t xml:space="preserve">Interest rate </w:t>
      </w:r>
      <w:r w:rsidRPr="008A2991">
        <w:rPr>
          <w:rFonts w:ascii="Times New Roman"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oMath>
      <w:r w:rsidRPr="008A2991">
        <w:rPr>
          <w:rFonts w:ascii="Times New Roman" w:hAnsi="Times New Roman" w:cs="Times New Roman"/>
          <w:sz w:val="20"/>
          <w:szCs w:val="20"/>
        </w:rPr>
        <w:t>)</w:t>
      </w:r>
      <w:r w:rsidR="00C408C9" w:rsidRPr="008A2991">
        <w:rPr>
          <w:rFonts w:ascii="Times New Roman" w:hAnsi="Times New Roman" w:cs="Times New Roman"/>
          <w:sz w:val="20"/>
          <w:szCs w:val="20"/>
          <w:shd w:val="clear" w:color="auto" w:fill="FFFFFF"/>
        </w:rPr>
        <w:t xml:space="preserve">: </w:t>
      </w:r>
      <w:r w:rsidR="00D6002B" w:rsidRPr="008A2991">
        <w:rPr>
          <w:rFonts w:ascii="Times New Roman" w:hAnsi="Times New Roman" w:cs="Times New Roman"/>
          <w:sz w:val="20"/>
          <w:szCs w:val="20"/>
          <w:shd w:val="clear" w:color="auto" w:fill="FFFFFF"/>
        </w:rPr>
        <w:t>This is the i</w:t>
      </w:r>
      <w:r w:rsidRPr="008A2991">
        <w:rPr>
          <w:rFonts w:ascii="Times New Roman" w:hAnsi="Times New Roman" w:cs="Times New Roman"/>
          <w:sz w:val="20"/>
          <w:szCs w:val="20"/>
          <w:shd w:val="clear" w:color="auto" w:fill="FFFFFF"/>
        </w:rPr>
        <w:t>nterest</w:t>
      </w:r>
      <w:r w:rsidR="00D6002B" w:rsidRPr="008A2991">
        <w:rPr>
          <w:rFonts w:ascii="Times New Roman" w:hAnsi="Times New Roman" w:cs="Times New Roman"/>
          <w:sz w:val="20"/>
          <w:szCs w:val="20"/>
          <w:shd w:val="clear" w:color="auto" w:fill="FFFFFF"/>
        </w:rPr>
        <w:t xml:space="preserve"> on the currency deposited in a bank account</w:t>
      </w:r>
      <w:r w:rsidRPr="008A2991">
        <w:rPr>
          <w:rFonts w:ascii="Times New Roman" w:hAnsi="Times New Roman" w:cs="Times New Roman"/>
          <w:sz w:val="20"/>
          <w:szCs w:val="20"/>
          <w:shd w:val="clear" w:color="auto" w:fill="FFFFFF"/>
        </w:rPr>
        <w:t xml:space="preserve"> for a certain period</w:t>
      </w:r>
      <w:r w:rsidR="00D6002B" w:rsidRPr="008A2991">
        <w:rPr>
          <w:rFonts w:ascii="Times New Roman" w:hAnsi="Times New Roman" w:cs="Times New Roman"/>
          <w:sz w:val="20"/>
          <w:szCs w:val="20"/>
          <w:shd w:val="clear" w:color="auto" w:fill="FFFFFF"/>
        </w:rPr>
        <w:t>.</w:t>
      </w:r>
    </w:p>
    <w:p w14:paraId="3EFC6A5A" w14:textId="3FF88E54"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shd w:val="clear" w:color="auto" w:fill="FFFFFF"/>
        </w:rPr>
      </w:pPr>
      <w:r w:rsidRPr="008A2991">
        <w:rPr>
          <w:rFonts w:ascii="Times New Roman" w:hAnsi="Times New Roman" w:cs="Times New Roman"/>
          <w:sz w:val="20"/>
          <w:szCs w:val="20"/>
          <w:shd w:val="clear" w:color="auto" w:fill="FFFFFF"/>
        </w:rPr>
        <w:t xml:space="preserve">The number of free transfers (inter-bank transfer) </w:t>
      </w:r>
      <w:r w:rsidRPr="008A2991">
        <w:rPr>
          <w:rFonts w:ascii="Times New Roman"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4</m:t>
            </m:r>
          </m:sub>
        </m:sSub>
      </m:oMath>
      <w:r w:rsidRPr="008A2991">
        <w:rPr>
          <w:rFonts w:ascii="Times New Roman" w:hAnsi="Times New Roman" w:cs="Times New Roman"/>
          <w:sz w:val="20"/>
          <w:szCs w:val="20"/>
        </w:rPr>
        <w:t>)</w:t>
      </w:r>
      <w:r w:rsidRPr="008A2991">
        <w:rPr>
          <w:rFonts w:ascii="Times New Roman" w:hAnsi="Times New Roman" w:cs="Times New Roman"/>
          <w:sz w:val="20"/>
          <w:szCs w:val="20"/>
          <w:shd w:val="clear" w:color="auto" w:fill="FFFFFF"/>
        </w:rPr>
        <w:t xml:space="preserve">: </w:t>
      </w:r>
      <w:r w:rsidR="00B37EA8" w:rsidRPr="008A2991">
        <w:rPr>
          <w:rFonts w:ascii="Times New Roman" w:hAnsi="Times New Roman" w:cs="Times New Roman"/>
          <w:sz w:val="20"/>
          <w:szCs w:val="20"/>
          <w:shd w:val="clear" w:color="auto" w:fill="FFFFFF"/>
        </w:rPr>
        <w:t>This</w:t>
      </w:r>
      <w:r w:rsidRPr="008A2991">
        <w:rPr>
          <w:rFonts w:ascii="Times New Roman" w:hAnsi="Times New Roman" w:cs="Times New Roman"/>
          <w:sz w:val="20"/>
          <w:szCs w:val="20"/>
          <w:shd w:val="clear" w:color="auto" w:fill="FFFFFF"/>
        </w:rPr>
        <w:t xml:space="preserve"> refers to the transfer of money from </w:t>
      </w:r>
      <w:r w:rsidR="00C408C9" w:rsidRPr="008A2991">
        <w:rPr>
          <w:rFonts w:ascii="Times New Roman" w:hAnsi="Times New Roman" w:cs="Times New Roman"/>
          <w:sz w:val="20"/>
          <w:szCs w:val="20"/>
          <w:shd w:val="clear" w:color="auto" w:fill="FFFFFF"/>
        </w:rPr>
        <w:t>an individual</w:t>
      </w:r>
      <w:r w:rsidRPr="008A2991">
        <w:rPr>
          <w:rFonts w:ascii="Times New Roman" w:hAnsi="Times New Roman" w:cs="Times New Roman"/>
          <w:sz w:val="20"/>
          <w:szCs w:val="20"/>
          <w:shd w:val="clear" w:color="auto" w:fill="FFFFFF"/>
        </w:rPr>
        <w:t>’s own account to another account.</w:t>
      </w:r>
    </w:p>
    <w:p w14:paraId="7488E532" w14:textId="770649AF"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shd w:val="clear" w:color="auto" w:fill="FFFFFF"/>
        </w:rPr>
      </w:pPr>
      <w:bookmarkStart w:id="8" w:name="_Hlk64840428"/>
      <w:r w:rsidRPr="008A2991">
        <w:rPr>
          <w:rFonts w:ascii="Times New Roman" w:hAnsi="Times New Roman" w:cs="Times New Roman"/>
          <w:sz w:val="20"/>
          <w:szCs w:val="20"/>
          <w:shd w:val="clear" w:color="auto" w:fill="FFFFFF"/>
        </w:rPr>
        <w:t>The number of free withdrawals (</w:t>
      </w:r>
      <w:r w:rsidRPr="008A2991">
        <w:rPr>
          <w:rFonts w:ascii="Times New Roman" w:hAnsi="Times New Roman" w:cs="Times New Roman"/>
          <w:sz w:val="20"/>
          <w:szCs w:val="20"/>
        </w:rPr>
        <w:t>take out money</w:t>
      </w:r>
      <w:bookmarkEnd w:id="8"/>
      <w:r w:rsidRPr="008A2991">
        <w:rPr>
          <w:rFonts w:ascii="Times New Roman" w:hAnsi="Times New Roman" w:cs="Times New Roman"/>
          <w:sz w:val="20"/>
          <w:szCs w:val="20"/>
          <w:shd w:val="clear" w:color="auto" w:fill="FFFFFF"/>
        </w:rPr>
        <w:t xml:space="preserve">) </w:t>
      </w:r>
      <m:oMath>
        <m:r>
          <m:rPr>
            <m:sty m:val="p"/>
          </m:rPr>
          <w:rPr>
            <w:rFonts w:ascii="Cambria Math" w:hAnsi="Cambria Math" w:cs="Times New Roman"/>
            <w:sz w:val="20"/>
            <w:szCs w:val="20"/>
            <w:shd w:val="clear" w:color="auto" w:fill="FFFFFF"/>
          </w:rPr>
          <m:t>(</m:t>
        </m:r>
        <m:sSub>
          <m:sSubPr>
            <m:ctrlPr>
              <w:rPr>
                <w:rFonts w:ascii="Cambria Math" w:hAnsi="Cambria Math" w:cs="Times New Roman"/>
                <w:sz w:val="20"/>
                <w:szCs w:val="20"/>
                <w:shd w:val="clear" w:color="auto" w:fill="FFFFFF"/>
              </w:rPr>
            </m:ctrlPr>
          </m:sSubPr>
          <m:e>
            <m:r>
              <w:rPr>
                <w:rFonts w:ascii="Cambria Math" w:hAnsi="Cambria Math" w:cs="Times New Roman"/>
                <w:sz w:val="20"/>
                <w:szCs w:val="20"/>
                <w:shd w:val="clear" w:color="auto" w:fill="FFFFFF"/>
              </w:rPr>
              <m:t>x</m:t>
            </m:r>
          </m:e>
          <m:sub>
            <m:r>
              <m:rPr>
                <m:sty m:val="p"/>
              </m:rPr>
              <w:rPr>
                <w:rFonts w:ascii="Cambria Math" w:hAnsi="Cambria Math" w:cs="Times New Roman"/>
                <w:sz w:val="20"/>
                <w:szCs w:val="20"/>
                <w:shd w:val="clear" w:color="auto" w:fill="FFFFFF"/>
              </w:rPr>
              <m:t>5</m:t>
            </m:r>
          </m:sub>
        </m:sSub>
      </m:oMath>
      <w:r w:rsidRPr="008A2991">
        <w:rPr>
          <w:rFonts w:ascii="Times New Roman" w:hAnsi="Times New Roman" w:cs="Times New Roman"/>
          <w:sz w:val="20"/>
          <w:szCs w:val="20"/>
          <w:shd w:val="clear" w:color="auto" w:fill="FFFFFF"/>
        </w:rPr>
        <w:t xml:space="preserve">): </w:t>
      </w:r>
      <w:r w:rsidR="00B37EA8" w:rsidRPr="008A2991">
        <w:rPr>
          <w:rFonts w:ascii="Times New Roman" w:hAnsi="Times New Roman" w:cs="Times New Roman"/>
          <w:sz w:val="20"/>
          <w:szCs w:val="20"/>
          <w:shd w:val="clear" w:color="auto" w:fill="FFFFFF"/>
        </w:rPr>
        <w:t>This</w:t>
      </w:r>
      <w:r w:rsidRPr="008A2991">
        <w:rPr>
          <w:rFonts w:ascii="Times New Roman" w:hAnsi="Times New Roman" w:cs="Times New Roman"/>
          <w:sz w:val="20"/>
          <w:szCs w:val="20"/>
          <w:shd w:val="clear" w:color="auto" w:fill="FFFFFF"/>
        </w:rPr>
        <w:t xml:space="preserve"> </w:t>
      </w:r>
      <w:r w:rsidR="00C408C9" w:rsidRPr="008A2991">
        <w:rPr>
          <w:rFonts w:ascii="Times New Roman" w:hAnsi="Times New Roman" w:cs="Times New Roman"/>
          <w:sz w:val="20"/>
          <w:szCs w:val="20"/>
          <w:shd w:val="clear" w:color="auto" w:fill="FFFFFF"/>
        </w:rPr>
        <w:t>refers</w:t>
      </w:r>
      <w:r w:rsidRPr="008A2991">
        <w:rPr>
          <w:rFonts w:ascii="Times New Roman" w:hAnsi="Times New Roman" w:cs="Times New Roman"/>
          <w:sz w:val="20"/>
          <w:szCs w:val="20"/>
          <w:shd w:val="clear" w:color="auto" w:fill="FFFFFF"/>
        </w:rPr>
        <w:t xml:space="preserve"> to the number of withdrawals from </w:t>
      </w:r>
      <w:r w:rsidR="00774AC6" w:rsidRPr="008A2991">
        <w:rPr>
          <w:rFonts w:ascii="Times New Roman" w:hAnsi="Times New Roman" w:cs="Times New Roman"/>
          <w:sz w:val="20"/>
          <w:szCs w:val="20"/>
          <w:shd w:val="clear" w:color="auto" w:fill="FFFFFF"/>
        </w:rPr>
        <w:t>automated teller machine</w:t>
      </w:r>
      <w:r w:rsidR="00C408C9" w:rsidRPr="008A2991">
        <w:rPr>
          <w:rFonts w:ascii="Times New Roman" w:hAnsi="Times New Roman" w:cs="Times New Roman"/>
          <w:sz w:val="20"/>
          <w:szCs w:val="20"/>
          <w:shd w:val="clear" w:color="auto" w:fill="FFFFFF"/>
        </w:rPr>
        <w:t>s</w:t>
      </w:r>
      <w:r w:rsidR="00774AC6" w:rsidRPr="008A2991">
        <w:rPr>
          <w:rFonts w:ascii="Times New Roman" w:hAnsi="Times New Roman" w:cs="Times New Roman"/>
          <w:sz w:val="20"/>
          <w:szCs w:val="20"/>
          <w:shd w:val="clear" w:color="auto" w:fill="FFFFFF"/>
        </w:rPr>
        <w:t xml:space="preserve"> </w:t>
      </w:r>
      <w:r w:rsidR="00774AC6" w:rsidRPr="008A2991">
        <w:rPr>
          <w:rFonts w:ascii="Times New Roman" w:hAnsi="Times New Roman" w:cs="Times New Roman"/>
          <w:color w:val="202124"/>
          <w:sz w:val="20"/>
          <w:szCs w:val="20"/>
          <w:shd w:val="clear" w:color="auto" w:fill="FFFFFF"/>
        </w:rPr>
        <w:t>(</w:t>
      </w:r>
      <w:r w:rsidRPr="008A2991">
        <w:rPr>
          <w:rFonts w:ascii="Times New Roman" w:hAnsi="Times New Roman" w:cs="Times New Roman"/>
          <w:sz w:val="20"/>
          <w:szCs w:val="20"/>
          <w:shd w:val="clear" w:color="auto" w:fill="FFFFFF"/>
        </w:rPr>
        <w:t>ATM</w:t>
      </w:r>
      <w:r w:rsidR="00C408C9" w:rsidRPr="008A2991">
        <w:rPr>
          <w:rFonts w:ascii="Times New Roman" w:hAnsi="Times New Roman" w:cs="Times New Roman"/>
          <w:sz w:val="20"/>
          <w:szCs w:val="20"/>
          <w:shd w:val="clear" w:color="auto" w:fill="FFFFFF"/>
        </w:rPr>
        <w:t>s</w:t>
      </w:r>
      <w:r w:rsidR="00774AC6" w:rsidRPr="008A2991">
        <w:rPr>
          <w:rFonts w:ascii="Times New Roman" w:hAnsi="Times New Roman" w:cs="Times New Roman"/>
          <w:sz w:val="20"/>
          <w:szCs w:val="20"/>
          <w:shd w:val="clear" w:color="auto" w:fill="FFFFFF"/>
        </w:rPr>
        <w:t>)</w:t>
      </w:r>
      <w:r w:rsidRPr="008A2991">
        <w:rPr>
          <w:rFonts w:ascii="Times New Roman" w:hAnsi="Times New Roman" w:cs="Times New Roman"/>
          <w:sz w:val="20"/>
          <w:szCs w:val="20"/>
          <w:shd w:val="clear" w:color="auto" w:fill="FFFFFF"/>
        </w:rPr>
        <w:t>.</w:t>
      </w:r>
    </w:p>
    <w:p w14:paraId="42CD9B96" w14:textId="589816C4"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Deposit limit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6</m:t>
            </m:r>
          </m:sub>
        </m:sSub>
      </m:oMath>
      <w:r w:rsidRPr="008A2991">
        <w:rPr>
          <w:rFonts w:ascii="Times New Roman" w:hAnsi="Times New Roman" w:cs="Times New Roman"/>
          <w:sz w:val="20"/>
          <w:szCs w:val="20"/>
        </w:rPr>
        <w:t>)</w:t>
      </w:r>
      <w:r w:rsidR="00C408C9" w:rsidRPr="008A2991">
        <w:rPr>
          <w:rFonts w:ascii="Times New Roman" w:hAnsi="Times New Roman" w:cs="Times New Roman"/>
          <w:sz w:val="20"/>
          <w:szCs w:val="20"/>
        </w:rPr>
        <w:t xml:space="preserve">: </w:t>
      </w:r>
      <w:r w:rsidR="00B37EA8"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refers to a limited deposit amount.</w:t>
      </w:r>
    </w:p>
    <w:p w14:paraId="64D69D09" w14:textId="5DAE4EF1" w:rsidR="0082506C" w:rsidRPr="008A2991" w:rsidRDefault="0082506C" w:rsidP="00437EE1">
      <w:pPr>
        <w:pStyle w:val="aa"/>
        <w:numPr>
          <w:ilvl w:val="0"/>
          <w:numId w:val="7"/>
        </w:numPr>
        <w:spacing w:after="60"/>
        <w:ind w:leftChars="0" w:left="0" w:firstLine="0"/>
        <w:jc w:val="both"/>
        <w:rPr>
          <w:rFonts w:ascii="Times New Roman" w:hAnsi="Times New Roman" w:cs="Times New Roman"/>
          <w:sz w:val="20"/>
          <w:szCs w:val="20"/>
        </w:rPr>
      </w:pPr>
      <w:bookmarkStart w:id="9" w:name="OLE_LINK124"/>
      <w:bookmarkStart w:id="10" w:name="OLE_LINK125"/>
      <w:r w:rsidRPr="008A2991">
        <w:rPr>
          <w:rFonts w:ascii="Times New Roman" w:hAnsi="Times New Roman" w:cs="Times New Roman"/>
          <w:sz w:val="20"/>
          <w:szCs w:val="20"/>
        </w:rPr>
        <w:t>Account opening age limit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7</m:t>
            </m:r>
          </m:sub>
        </m:sSub>
      </m:oMath>
      <w:r w:rsidRPr="008A2991">
        <w:rPr>
          <w:rFonts w:ascii="Times New Roman" w:hAnsi="Times New Roman" w:cs="Times New Roman"/>
          <w:sz w:val="20"/>
          <w:szCs w:val="20"/>
        </w:rPr>
        <w:t>)</w:t>
      </w:r>
      <w:bookmarkEnd w:id="9"/>
      <w:bookmarkEnd w:id="10"/>
      <w:r w:rsidRPr="008A2991">
        <w:rPr>
          <w:rFonts w:ascii="Times New Roman" w:hAnsi="Times New Roman" w:cs="Times New Roman"/>
          <w:sz w:val="20"/>
          <w:szCs w:val="20"/>
        </w:rPr>
        <w:t xml:space="preserve">: </w:t>
      </w:r>
      <w:r w:rsidR="000A4C4A" w:rsidRPr="008A2991">
        <w:rPr>
          <w:rFonts w:ascii="Times New Roman" w:hAnsi="Times New Roman" w:cs="Times New Roman"/>
          <w:sz w:val="20"/>
          <w:szCs w:val="20"/>
        </w:rPr>
        <w:t>This</w:t>
      </w:r>
      <w:r w:rsidRPr="008A2991">
        <w:rPr>
          <w:rFonts w:ascii="Times New Roman" w:hAnsi="Times New Roman" w:cs="Times New Roman"/>
          <w:sz w:val="20"/>
          <w:szCs w:val="20"/>
        </w:rPr>
        <w:t xml:space="preserve"> refers to age restrictions of individuals opening an account.</w:t>
      </w:r>
    </w:p>
    <w:bookmarkEnd w:id="5"/>
    <w:p w14:paraId="1853506B" w14:textId="3746018B" w:rsidR="0082506C" w:rsidRPr="008A2991" w:rsidRDefault="0082506C"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Then, the basic model setup can be described </w:t>
      </w:r>
      <w:r w:rsidR="00C408C9" w:rsidRPr="008A2991">
        <w:rPr>
          <w:rFonts w:ascii="Times New Roman" w:hAnsi="Times New Roman" w:cs="Times New Roman"/>
          <w:sz w:val="20"/>
          <w:szCs w:val="20"/>
        </w:rPr>
        <w:t xml:space="preserve">in term of </w:t>
      </w:r>
      <w:r w:rsidRPr="008A2991">
        <w:rPr>
          <w:rFonts w:ascii="Times New Roman" w:hAnsi="Times New Roman" w:cs="Times New Roman"/>
          <w:sz w:val="20"/>
          <w:szCs w:val="20"/>
        </w:rPr>
        <w:t>Equation (</w:t>
      </w:r>
      <w:r w:rsidR="00406230" w:rsidRPr="008A2991">
        <w:rPr>
          <w:rFonts w:ascii="Times New Roman" w:hAnsi="Times New Roman" w:cs="Times New Roman" w:hint="eastAsia"/>
          <w:sz w:val="20"/>
          <w:szCs w:val="20"/>
        </w:rPr>
        <w:t>4</w:t>
      </w:r>
      <w:r w:rsidRPr="008A2991">
        <w:rPr>
          <w:rFonts w:ascii="Times New Roman" w:hAnsi="Times New Roman" w:cs="Times New Roman"/>
          <w:sz w:val="20"/>
          <w:szCs w:val="20"/>
        </w:rPr>
        <w:t xml:space="preserve">) using the representative indicators selected by </w:t>
      </w:r>
      <w:r w:rsidR="002E36CF" w:rsidRPr="008A2991">
        <w:rPr>
          <w:rFonts w:ascii="Times New Roman" w:hAnsi="Times New Roman" w:cs="Times New Roman"/>
          <w:sz w:val="20"/>
          <w:szCs w:val="20"/>
        </w:rPr>
        <w:t xml:space="preserve">the </w:t>
      </w:r>
      <w:r w:rsidR="00F20808" w:rsidRPr="008A2991">
        <w:rPr>
          <w:rFonts w:ascii="Times New Roman" w:hAnsi="Times New Roman" w:cs="Times New Roman"/>
          <w:sz w:val="20"/>
          <w:szCs w:val="20"/>
        </w:rPr>
        <w:t>PCA model</w:t>
      </w:r>
      <w:r w:rsidRPr="008A2991">
        <w:rPr>
          <w:rFonts w:ascii="Times New Roman" w:hAnsi="Times New Roman" w:cs="Times New Roman"/>
          <w:sz w:val="20"/>
          <w:szCs w:val="20"/>
        </w:rPr>
        <w:t xml:space="preserve"> </w:t>
      </w:r>
      <w:r w:rsidR="00C408C9" w:rsidRPr="008A2991">
        <w:rPr>
          <w:rFonts w:ascii="Times New Roman" w:hAnsi="Times New Roman" w:cs="Times New Roman"/>
          <w:sz w:val="20"/>
          <w:szCs w:val="20"/>
        </w:rPr>
        <w:t xml:space="preserve">before </w:t>
      </w:r>
      <w:r w:rsidRPr="008A2991">
        <w:rPr>
          <w:rFonts w:ascii="Times New Roman" w:hAnsi="Times New Roman" w:cs="Times New Roman"/>
          <w:sz w:val="20"/>
          <w:szCs w:val="20"/>
        </w:rPr>
        <w:t>the factors that influence the promotion of digital accounts</w:t>
      </w:r>
      <w:r w:rsidR="00C408C9" w:rsidRPr="008A2991">
        <w:rPr>
          <w:rFonts w:ascii="Times New Roman" w:hAnsi="Times New Roman" w:cs="Times New Roman"/>
          <w:sz w:val="20"/>
          <w:szCs w:val="20"/>
        </w:rPr>
        <w:t xml:space="preserve"> can be identified:</w:t>
      </w:r>
    </w:p>
    <w:tbl>
      <w:tblPr>
        <w:tblStyle w:val="ac"/>
        <w:tblW w:w="8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473"/>
      </w:tblGrid>
      <w:tr w:rsidR="0082506C" w:rsidRPr="008A2991" w14:paraId="2FA02F19" w14:textId="77777777" w:rsidTr="00406230">
        <w:tc>
          <w:tcPr>
            <w:tcW w:w="7938" w:type="dxa"/>
            <w:vAlign w:val="center"/>
          </w:tcPr>
          <w:p w14:paraId="4F40CCCC" w14:textId="75B54BE4" w:rsidR="0082506C" w:rsidRPr="008A2991" w:rsidRDefault="00000000" w:rsidP="00EC6455">
            <w:pPr>
              <w:spacing w:before="120" w:after="120"/>
              <w:jc w:val="center"/>
              <w:rPr>
                <w:rFonts w:ascii="Times New Roman"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m:rPr>
                    <m:sty m:val="p"/>
                  </m:rPr>
                  <w:rPr>
                    <w:rFonts w:ascii="Cambria Math" w:hAnsi="Cambria Math" w:cs="Times New Roman"/>
                    <w:sz w:val="20"/>
                    <w:szCs w:val="20"/>
                  </w:rPr>
                  <m:t>=</m:t>
                </m:r>
                <m:r>
                  <w:rPr>
                    <w:rFonts w:ascii="Cambria Math" w:hAnsi="Cambria Math" w:cs="Times New Roman"/>
                    <w:sz w:val="20"/>
                    <w:szCs w:val="20"/>
                  </w:rPr>
                  <m:t>f</m:t>
                </m:r>
                <m:d>
                  <m:dPr>
                    <m:ctrlPr>
                      <w:rPr>
                        <w:rFonts w:ascii="Cambria Math" w:hAnsi="Cambria Math" w:cs="Times New Roman"/>
                        <w:sz w:val="20"/>
                        <w:szCs w:val="20"/>
                      </w:rPr>
                    </m:ctrlPr>
                  </m:dPr>
                  <m:e>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1</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2</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3</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4</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5</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6</m:t>
                            </m:r>
                          </m:sub>
                        </m:sSub>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sSub>
                          <m:sSubPr>
                            <m:ctrlPr>
                              <w:rPr>
                                <w:rFonts w:ascii="Cambria Math" w:hAnsi="Cambria Math" w:cs="Times New Roman"/>
                                <w:sz w:val="20"/>
                                <w:szCs w:val="20"/>
                              </w:rPr>
                            </m:ctrlPr>
                          </m:sSubPr>
                          <m:e>
                            <m:r>
                              <w:rPr>
                                <w:rFonts w:ascii="Cambria Math" w:hAnsi="Cambria Math" w:cs="Times New Roman"/>
                                <w:sz w:val="20"/>
                                <w:szCs w:val="20"/>
                              </w:rPr>
                              <m:t>x</m:t>
                            </m:r>
                          </m:e>
                          <m:sub>
                            <m:r>
                              <m:rPr>
                                <m:sty m:val="b"/>
                              </m:rPr>
                              <w:rPr>
                                <w:rFonts w:ascii="Cambria Math" w:hAnsi="Cambria Math" w:cs="Times New Roman"/>
                                <w:sz w:val="20"/>
                                <w:szCs w:val="20"/>
                              </w:rPr>
                              <m:t>7</m:t>
                            </m:r>
                          </m:sub>
                        </m:sSub>
                      </m:e>
                      <m:sub>
                        <m:r>
                          <w:rPr>
                            <w:rFonts w:ascii="Cambria Math" w:hAnsi="Cambria Math" w:cs="Times New Roman"/>
                            <w:sz w:val="20"/>
                            <w:szCs w:val="20"/>
                          </w:rPr>
                          <m:t>it</m:t>
                        </m:r>
                      </m:sub>
                    </m:sSub>
                  </m:e>
                </m:d>
                <m:r>
                  <m:rPr>
                    <m:sty m:val="p"/>
                  </m:rPr>
                  <w:rPr>
                    <w:rFonts w:ascii="Cambria Math" w:hAnsi="Cambria Math" w:cs="Times New Roman"/>
                    <w:sz w:val="20"/>
                    <w:szCs w:val="20"/>
                  </w:rPr>
                  <m:t>.</m:t>
                </m:r>
              </m:oMath>
            </m:oMathPara>
          </w:p>
        </w:tc>
        <w:tc>
          <w:tcPr>
            <w:tcW w:w="473" w:type="dxa"/>
            <w:vAlign w:val="center"/>
          </w:tcPr>
          <w:p w14:paraId="03FD833B" w14:textId="4A732D30" w:rsidR="0082506C" w:rsidRPr="008A2991" w:rsidRDefault="0082506C" w:rsidP="00EC6455">
            <w:pPr>
              <w:spacing w:before="120" w:after="120"/>
              <w:jc w:val="center"/>
              <w:rPr>
                <w:rFonts w:ascii="Times New Roman" w:hAnsi="Times New Roman" w:cs="Times New Roman"/>
                <w:sz w:val="20"/>
                <w:szCs w:val="20"/>
              </w:rPr>
            </w:pPr>
            <w:r w:rsidRPr="008A2991">
              <w:rPr>
                <w:rFonts w:ascii="Times New Roman" w:hAnsi="Times New Roman" w:cs="Times New Roman"/>
                <w:sz w:val="20"/>
                <w:szCs w:val="20"/>
              </w:rPr>
              <w:t>(</w:t>
            </w:r>
            <w:r w:rsidR="00406230" w:rsidRPr="008A2991">
              <w:rPr>
                <w:rFonts w:ascii="Times New Roman" w:hAnsi="Times New Roman" w:cs="Times New Roman" w:hint="eastAsia"/>
                <w:sz w:val="20"/>
                <w:szCs w:val="20"/>
              </w:rPr>
              <w:t>4</w:t>
            </w:r>
            <w:r w:rsidRPr="008A2991">
              <w:rPr>
                <w:rFonts w:ascii="Times New Roman" w:hAnsi="Times New Roman" w:cs="Times New Roman"/>
                <w:sz w:val="20"/>
                <w:szCs w:val="20"/>
              </w:rPr>
              <w:t>)</w:t>
            </w:r>
          </w:p>
        </w:tc>
      </w:tr>
    </w:tbl>
    <w:p w14:paraId="216D63E3" w14:textId="114C8982" w:rsidR="000C7129" w:rsidRPr="008A2991" w:rsidRDefault="007250FC" w:rsidP="00A428A3">
      <w:pPr>
        <w:pStyle w:val="Heading11"/>
        <w:numPr>
          <w:ilvl w:val="1"/>
          <w:numId w:val="1"/>
        </w:numPr>
        <w:spacing w:before="200" w:after="160"/>
        <w:ind w:left="0" w:firstLine="0"/>
        <w:rPr>
          <w:rFonts w:ascii="Times New Roman" w:hAnsi="Times New Roman" w:cs="Times New Roman"/>
          <w:sz w:val="22"/>
          <w:szCs w:val="22"/>
        </w:rPr>
      </w:pPr>
      <w:r w:rsidRPr="008A2991">
        <w:rPr>
          <w:rFonts w:ascii="Times New Roman" w:hAnsi="Times New Roman" w:cs="Times New Roman"/>
          <w:sz w:val="22"/>
          <w:szCs w:val="22"/>
        </w:rPr>
        <w:t xml:space="preserve">Functional </w:t>
      </w:r>
      <w:r w:rsidR="00A428A3" w:rsidRPr="008A2991">
        <w:rPr>
          <w:rFonts w:ascii="Times New Roman" w:hAnsi="Times New Roman" w:cs="Times New Roman"/>
          <w:sz w:val="22"/>
          <w:szCs w:val="22"/>
        </w:rPr>
        <w:t>P</w:t>
      </w:r>
      <w:r w:rsidRPr="008A2991">
        <w:rPr>
          <w:rFonts w:ascii="Times New Roman" w:hAnsi="Times New Roman" w:cs="Times New Roman"/>
          <w:sz w:val="22"/>
          <w:szCs w:val="22"/>
        </w:rPr>
        <w:t xml:space="preserve">rincipal </w:t>
      </w:r>
      <w:r w:rsidR="00A428A3" w:rsidRPr="008A2991">
        <w:rPr>
          <w:rFonts w:ascii="Times New Roman" w:hAnsi="Times New Roman" w:cs="Times New Roman"/>
          <w:sz w:val="22"/>
          <w:szCs w:val="22"/>
        </w:rPr>
        <w:t>C</w:t>
      </w:r>
      <w:r w:rsidRPr="008A2991">
        <w:rPr>
          <w:rFonts w:ascii="Times New Roman" w:hAnsi="Times New Roman" w:cs="Times New Roman"/>
          <w:sz w:val="22"/>
          <w:szCs w:val="22"/>
        </w:rPr>
        <w:t xml:space="preserve">omponent </w:t>
      </w:r>
      <w:r w:rsidR="00A428A3" w:rsidRPr="008A2991">
        <w:rPr>
          <w:rFonts w:ascii="Times New Roman" w:hAnsi="Times New Roman" w:cs="Times New Roman"/>
          <w:sz w:val="22"/>
          <w:szCs w:val="22"/>
        </w:rPr>
        <w:t>A</w:t>
      </w:r>
      <w:r w:rsidRPr="008A2991">
        <w:rPr>
          <w:rFonts w:ascii="Times New Roman" w:hAnsi="Times New Roman" w:cs="Times New Roman"/>
          <w:sz w:val="22"/>
          <w:szCs w:val="22"/>
        </w:rPr>
        <w:t>nalysis</w:t>
      </w:r>
      <w:r w:rsidR="000C7129" w:rsidRPr="008A2991">
        <w:rPr>
          <w:rFonts w:ascii="Times New Roman" w:hAnsi="Times New Roman" w:cs="Times New Roman"/>
          <w:sz w:val="22"/>
          <w:szCs w:val="22"/>
        </w:rPr>
        <w:t xml:space="preserve"> </w:t>
      </w:r>
    </w:p>
    <w:p w14:paraId="69275F01" w14:textId="5E694B14" w:rsidR="002C550F" w:rsidRPr="008A2991" w:rsidRDefault="002C550F" w:rsidP="00C7380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lastRenderedPageBreak/>
        <w:t>The first step of this analysis involve</w:t>
      </w:r>
      <w:r w:rsidR="00C216A3" w:rsidRPr="008A2991">
        <w:rPr>
          <w:rFonts w:ascii="Times New Roman" w:hAnsi="Times New Roman" w:cs="Times New Roman"/>
          <w:sz w:val="20"/>
          <w:szCs w:val="20"/>
        </w:rPr>
        <w:t>d</w:t>
      </w:r>
      <w:r w:rsidRPr="008A2991">
        <w:rPr>
          <w:rFonts w:ascii="Times New Roman" w:hAnsi="Times New Roman" w:cs="Times New Roman"/>
          <w:sz w:val="20"/>
          <w:szCs w:val="20"/>
        </w:rPr>
        <w:t xml:space="preserve"> checking whether the sample size </w:t>
      </w:r>
      <w:r w:rsidR="00C408C9" w:rsidRPr="008A2991">
        <w:rPr>
          <w:rFonts w:ascii="Times New Roman" w:hAnsi="Times New Roman" w:cs="Times New Roman"/>
          <w:sz w:val="20"/>
          <w:szCs w:val="20"/>
        </w:rPr>
        <w:t>wa</w:t>
      </w:r>
      <w:r w:rsidRPr="008A2991">
        <w:rPr>
          <w:rFonts w:ascii="Times New Roman" w:hAnsi="Times New Roman" w:cs="Times New Roman"/>
          <w:sz w:val="20"/>
          <w:szCs w:val="20"/>
        </w:rPr>
        <w:t>s appropriate for the number of variables used in this study. For this purpose, we utilize</w:t>
      </w:r>
      <w:r w:rsidR="00C216A3" w:rsidRPr="008A2991">
        <w:rPr>
          <w:rFonts w:ascii="Times New Roman" w:hAnsi="Times New Roman" w:cs="Times New Roman"/>
          <w:sz w:val="20"/>
          <w:szCs w:val="20"/>
        </w:rPr>
        <w:t>d</w:t>
      </w:r>
      <w:r w:rsidRPr="008A2991">
        <w:rPr>
          <w:rFonts w:ascii="Times New Roman" w:hAnsi="Times New Roman" w:cs="Times New Roman"/>
          <w:sz w:val="20"/>
          <w:szCs w:val="20"/>
        </w:rPr>
        <w:t xml:space="preserve"> the Kaiser</w:t>
      </w:r>
      <w:r w:rsidR="00737335" w:rsidRPr="008A2991">
        <w:rPr>
          <w:rFonts w:ascii="Times New Roman" w:hAnsi="Times New Roman" w:cs="Times New Roman"/>
          <w:sz w:val="20"/>
          <w:szCs w:val="20"/>
        </w:rPr>
        <w:t>–</w:t>
      </w:r>
      <w:r w:rsidRPr="008A2991">
        <w:rPr>
          <w:rFonts w:ascii="Times New Roman" w:hAnsi="Times New Roman" w:cs="Times New Roman"/>
          <w:sz w:val="20"/>
          <w:szCs w:val="20"/>
        </w:rPr>
        <w:t>Meyer</w:t>
      </w:r>
      <w:r w:rsidR="00737335" w:rsidRPr="008A2991">
        <w:rPr>
          <w:rFonts w:ascii="Times New Roman" w:hAnsi="Times New Roman" w:cs="Times New Roman"/>
          <w:sz w:val="20"/>
          <w:szCs w:val="20"/>
        </w:rPr>
        <w:t>–</w:t>
      </w:r>
      <w:r w:rsidRPr="008A2991">
        <w:rPr>
          <w:rFonts w:ascii="Times New Roman" w:hAnsi="Times New Roman" w:cs="Times New Roman"/>
          <w:sz w:val="20"/>
          <w:szCs w:val="20"/>
        </w:rPr>
        <w:t xml:space="preserve">Olkin (KMO) and Bartlett’s tests. </w:t>
      </w:r>
      <w:r w:rsidR="00737335"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KMO </w:t>
      </w:r>
      <w:r w:rsidR="00737335" w:rsidRPr="008A2991">
        <w:rPr>
          <w:rFonts w:ascii="Times New Roman" w:hAnsi="Times New Roman" w:cs="Times New Roman"/>
          <w:sz w:val="20"/>
          <w:szCs w:val="20"/>
        </w:rPr>
        <w:t xml:space="preserve">test </w:t>
      </w:r>
      <w:r w:rsidRPr="008A2991">
        <w:rPr>
          <w:rFonts w:ascii="Times New Roman" w:hAnsi="Times New Roman" w:cs="Times New Roman"/>
          <w:sz w:val="20"/>
          <w:szCs w:val="20"/>
        </w:rPr>
        <w:t xml:space="preserve">measures the sampling adequacy (which should be greater than 0.5) for successful factor analysis. Bartlett's test is another indicator </w:t>
      </w:r>
      <w:r w:rsidR="00C408C9" w:rsidRPr="008A2991">
        <w:rPr>
          <w:rFonts w:ascii="Times New Roman" w:hAnsi="Times New Roman" w:cs="Times New Roman"/>
          <w:sz w:val="20"/>
          <w:szCs w:val="20"/>
        </w:rPr>
        <w:t xml:space="preserve">used </w:t>
      </w:r>
      <w:r w:rsidRPr="008A2991">
        <w:rPr>
          <w:rFonts w:ascii="Times New Roman" w:hAnsi="Times New Roman" w:cs="Times New Roman"/>
          <w:sz w:val="20"/>
          <w:szCs w:val="20"/>
        </w:rPr>
        <w:t xml:space="preserve">to measure the strength of </w:t>
      </w:r>
      <w:r w:rsidR="00C216A3"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relationship </w:t>
      </w:r>
      <w:r w:rsidR="00C216A3" w:rsidRPr="008A2991">
        <w:rPr>
          <w:rFonts w:ascii="Times New Roman" w:hAnsi="Times New Roman" w:cs="Times New Roman"/>
          <w:sz w:val="20"/>
          <w:szCs w:val="20"/>
        </w:rPr>
        <w:t>between</w:t>
      </w:r>
      <w:r w:rsidRPr="008A2991">
        <w:rPr>
          <w:rFonts w:ascii="Times New Roman" w:hAnsi="Times New Roman" w:cs="Times New Roman"/>
          <w:sz w:val="20"/>
          <w:szCs w:val="20"/>
        </w:rPr>
        <w:t xml:space="preserve"> variables. The results</w:t>
      </w:r>
      <w:r w:rsidR="00C408C9" w:rsidRPr="008A2991">
        <w:rPr>
          <w:rFonts w:ascii="Times New Roman" w:hAnsi="Times New Roman" w:cs="Times New Roman"/>
          <w:sz w:val="20"/>
          <w:szCs w:val="20"/>
        </w:rPr>
        <w:t xml:space="preserve"> indicated t</w:t>
      </w:r>
      <w:r w:rsidRPr="008A2991">
        <w:rPr>
          <w:rFonts w:ascii="Times New Roman" w:hAnsi="Times New Roman" w:cs="Times New Roman"/>
          <w:sz w:val="20"/>
          <w:szCs w:val="20"/>
        </w:rPr>
        <w:t xml:space="preserve">hat </w:t>
      </w:r>
      <w:r w:rsidR="00C408C9" w:rsidRPr="008A2991">
        <w:rPr>
          <w:rFonts w:ascii="Times New Roman" w:hAnsi="Times New Roman" w:cs="Times New Roman"/>
          <w:sz w:val="20"/>
          <w:szCs w:val="20"/>
        </w:rPr>
        <w:t xml:space="preserve">the </w:t>
      </w:r>
      <w:r w:rsidRPr="008A2991">
        <w:rPr>
          <w:rFonts w:ascii="Times New Roman" w:hAnsi="Times New Roman" w:cs="Times New Roman"/>
          <w:sz w:val="20"/>
          <w:szCs w:val="20"/>
        </w:rPr>
        <w:t xml:space="preserve">KMO and Bartlett's Test </w:t>
      </w:r>
      <w:r w:rsidR="00C216A3" w:rsidRPr="008A2991">
        <w:rPr>
          <w:rFonts w:ascii="Times New Roman" w:hAnsi="Times New Roman" w:cs="Times New Roman"/>
          <w:sz w:val="20"/>
          <w:szCs w:val="20"/>
        </w:rPr>
        <w:t>resulted in a</w:t>
      </w:r>
      <w:r w:rsidRPr="008A2991">
        <w:rPr>
          <w:rFonts w:ascii="Times New Roman" w:hAnsi="Times New Roman" w:cs="Times New Roman"/>
          <w:sz w:val="20"/>
          <w:szCs w:val="20"/>
        </w:rPr>
        <w:t xml:space="preserve"> calculated value of 0.729</w:t>
      </w:r>
      <w:r w:rsidR="00C216A3" w:rsidRPr="008A2991">
        <w:rPr>
          <w:rFonts w:ascii="Times New Roman" w:hAnsi="Times New Roman" w:cs="Times New Roman"/>
          <w:sz w:val="20"/>
          <w:szCs w:val="20"/>
        </w:rPr>
        <w:t>, which</w:t>
      </w:r>
      <w:r w:rsidRPr="008A2991">
        <w:rPr>
          <w:rFonts w:ascii="Times New Roman" w:hAnsi="Times New Roman" w:cs="Times New Roman"/>
          <w:sz w:val="20"/>
          <w:szCs w:val="20"/>
        </w:rPr>
        <w:t xml:space="preserve"> is considered to be acceptable in most social science research situations, as shown in Table </w:t>
      </w:r>
      <w:r w:rsidR="00723148" w:rsidRPr="008A2991">
        <w:rPr>
          <w:rFonts w:ascii="Times New Roman" w:hAnsi="Times New Roman" w:cs="Times New Roman"/>
          <w:sz w:val="20"/>
          <w:szCs w:val="20"/>
        </w:rPr>
        <w:t>3</w:t>
      </w:r>
      <w:r w:rsidR="008B1C8E" w:rsidRPr="008A2991">
        <w:rPr>
          <w:rFonts w:ascii="Times New Roman" w:hAnsi="Times New Roman" w:cs="Times New Roman"/>
          <w:sz w:val="20"/>
          <w:szCs w:val="20"/>
        </w:rPr>
        <w:t>.</w:t>
      </w:r>
    </w:p>
    <w:p w14:paraId="0483DE91" w14:textId="4875622D" w:rsidR="00723148" w:rsidRPr="008A2991" w:rsidRDefault="00723148" w:rsidP="008D5505">
      <w:pPr>
        <w:overflowPunct w:val="0"/>
        <w:spacing w:before="120" w:after="60"/>
        <w:rPr>
          <w:rFonts w:ascii="Times New Roman" w:hAnsi="Times New Roman" w:cs="Times New Roman"/>
          <w:sz w:val="20"/>
          <w:szCs w:val="20"/>
        </w:rPr>
      </w:pPr>
      <w:r w:rsidRPr="008A2991">
        <w:rPr>
          <w:rFonts w:ascii="Times New Roman" w:hAnsi="Times New Roman" w:cs="Times New Roman"/>
          <w:sz w:val="20"/>
          <w:szCs w:val="20"/>
        </w:rPr>
        <w:t>Table 3</w:t>
      </w:r>
      <w:r w:rsidR="002C550F" w:rsidRPr="008A2991">
        <w:rPr>
          <w:rFonts w:ascii="Times New Roman" w:hAnsi="Times New Roman" w:cs="Times New Roman"/>
          <w:sz w:val="20"/>
          <w:szCs w:val="20"/>
        </w:rPr>
        <w:t xml:space="preserve"> </w:t>
      </w:r>
      <w:r w:rsidR="00C408C9" w:rsidRPr="008A2991">
        <w:rPr>
          <w:rFonts w:ascii="Times New Roman" w:hAnsi="Times New Roman" w:cs="Times New Roman"/>
          <w:sz w:val="20"/>
          <w:szCs w:val="20"/>
        </w:rPr>
        <w:t xml:space="preserve">Kaiser–Meyer–Olkin </w:t>
      </w:r>
      <w:r w:rsidRPr="008A2991">
        <w:rPr>
          <w:rFonts w:ascii="Times New Roman" w:hAnsi="Times New Roman" w:cs="Times New Roman"/>
          <w:sz w:val="20"/>
          <w:szCs w:val="20"/>
        </w:rPr>
        <w:t xml:space="preserve">and Bartlett's </w:t>
      </w:r>
      <w:r w:rsidR="00C408C9" w:rsidRPr="008A2991">
        <w:rPr>
          <w:rFonts w:ascii="Times New Roman" w:hAnsi="Times New Roman" w:cs="Times New Roman"/>
          <w:sz w:val="20"/>
          <w:szCs w:val="20"/>
        </w:rPr>
        <w:t>t</w:t>
      </w:r>
      <w:r w:rsidRPr="008A2991">
        <w:rPr>
          <w:rFonts w:ascii="Times New Roman" w:hAnsi="Times New Roman" w:cs="Times New Roman"/>
          <w:sz w:val="20"/>
          <w:szCs w:val="20"/>
        </w:rPr>
        <w:t>est</w:t>
      </w:r>
      <w:r w:rsidR="00C408C9" w:rsidRPr="008A2991">
        <w:rPr>
          <w:rFonts w:ascii="Times New Roman" w:hAnsi="Times New Roman" w:cs="Times New Roman"/>
          <w:sz w:val="20"/>
          <w:szCs w:val="20"/>
        </w:rPr>
        <w:t xml:space="preserve"> results</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2895"/>
        <w:gridCol w:w="2835"/>
      </w:tblGrid>
      <w:tr w:rsidR="00904210" w:rsidRPr="008A2991" w14:paraId="04BC3001" w14:textId="77777777" w:rsidTr="00723148">
        <w:trPr>
          <w:cantSplit/>
        </w:trPr>
        <w:tc>
          <w:tcPr>
            <w:tcW w:w="5387" w:type="dxa"/>
            <w:gridSpan w:val="2"/>
            <w:shd w:val="clear" w:color="auto" w:fill="E0E0E0"/>
          </w:tcPr>
          <w:p w14:paraId="269DCA07" w14:textId="192DB520" w:rsidR="00904210" w:rsidRPr="008A2991" w:rsidRDefault="00904210" w:rsidP="00EC6455">
            <w:pPr>
              <w:autoSpaceDE w:val="0"/>
              <w:autoSpaceDN w:val="0"/>
              <w:adjustRightInd w:val="0"/>
              <w:spacing w:line="320" w:lineRule="atLeast"/>
              <w:ind w:left="60" w:right="60"/>
              <w:rPr>
                <w:rFonts w:ascii="Times New Roman" w:eastAsia="細明體" w:hAnsi="Times New Roman" w:cs="Times New Roman"/>
                <w:color w:val="000000" w:themeColor="text1"/>
                <w:kern w:val="0"/>
                <w:sz w:val="20"/>
                <w:szCs w:val="20"/>
              </w:rPr>
            </w:pPr>
            <w:bookmarkStart w:id="11" w:name="_Hlk131414253"/>
            <w:r w:rsidRPr="008A2991">
              <w:rPr>
                <w:rFonts w:ascii="Times New Roman" w:eastAsia="細明體" w:hAnsi="Times New Roman" w:cs="Times New Roman"/>
                <w:color w:val="000000" w:themeColor="text1"/>
                <w:kern w:val="0"/>
                <w:sz w:val="20"/>
                <w:szCs w:val="20"/>
              </w:rPr>
              <w:t xml:space="preserve">KMO </w:t>
            </w:r>
            <w:bookmarkEnd w:id="11"/>
            <w:r w:rsidRPr="008A2991">
              <w:rPr>
                <w:rFonts w:ascii="Times New Roman" w:eastAsia="細明體" w:hAnsi="Times New Roman" w:cs="Times New Roman"/>
                <w:color w:val="000000" w:themeColor="text1"/>
                <w:kern w:val="0"/>
                <w:sz w:val="20"/>
                <w:szCs w:val="20"/>
              </w:rPr>
              <w:t>Measure of Sampling Adequacy</w:t>
            </w:r>
          </w:p>
        </w:tc>
        <w:tc>
          <w:tcPr>
            <w:tcW w:w="2835" w:type="dxa"/>
            <w:shd w:val="clear" w:color="auto" w:fill="FFFFFF"/>
          </w:tcPr>
          <w:p w14:paraId="0E5C447D" w14:textId="77777777" w:rsidR="00904210" w:rsidRPr="008A2991" w:rsidRDefault="00904210" w:rsidP="00EC6455">
            <w:pPr>
              <w:autoSpaceDE w:val="0"/>
              <w:autoSpaceDN w:val="0"/>
              <w:adjustRightInd w:val="0"/>
              <w:spacing w:line="320" w:lineRule="atLeast"/>
              <w:ind w:left="60" w:right="60"/>
              <w:jc w:val="right"/>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.729</w:t>
            </w:r>
          </w:p>
        </w:tc>
      </w:tr>
      <w:tr w:rsidR="00904210" w:rsidRPr="008A2991" w14:paraId="4DC95899" w14:textId="77777777" w:rsidTr="00723148">
        <w:trPr>
          <w:cantSplit/>
        </w:trPr>
        <w:tc>
          <w:tcPr>
            <w:tcW w:w="2492" w:type="dxa"/>
            <w:vMerge w:val="restart"/>
            <w:shd w:val="clear" w:color="auto" w:fill="E0E0E0"/>
            <w:vAlign w:val="center"/>
          </w:tcPr>
          <w:p w14:paraId="428A3981" w14:textId="77777777" w:rsidR="00904210" w:rsidRPr="008A2991" w:rsidRDefault="00904210" w:rsidP="00723148">
            <w:pPr>
              <w:autoSpaceDE w:val="0"/>
              <w:autoSpaceDN w:val="0"/>
              <w:adjustRightInd w:val="0"/>
              <w:spacing w:line="320" w:lineRule="atLeast"/>
              <w:ind w:left="60" w:right="60"/>
              <w:jc w:val="center"/>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Bartlett's Test of Sphericity</w:t>
            </w:r>
          </w:p>
        </w:tc>
        <w:tc>
          <w:tcPr>
            <w:tcW w:w="2895" w:type="dxa"/>
            <w:shd w:val="clear" w:color="auto" w:fill="E0E0E0"/>
          </w:tcPr>
          <w:p w14:paraId="4BCCEAF8" w14:textId="77777777" w:rsidR="00904210" w:rsidRPr="008A2991" w:rsidRDefault="00904210" w:rsidP="00EC6455">
            <w:pPr>
              <w:autoSpaceDE w:val="0"/>
              <w:autoSpaceDN w:val="0"/>
              <w:adjustRightInd w:val="0"/>
              <w:spacing w:line="320" w:lineRule="atLeast"/>
              <w:ind w:left="60" w:right="60"/>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Approx. Chi-Square</w:t>
            </w:r>
          </w:p>
        </w:tc>
        <w:tc>
          <w:tcPr>
            <w:tcW w:w="2835" w:type="dxa"/>
            <w:shd w:val="clear" w:color="auto" w:fill="FFFFFF"/>
          </w:tcPr>
          <w:p w14:paraId="0F5F1585" w14:textId="77777777" w:rsidR="00904210" w:rsidRPr="008A2991" w:rsidRDefault="00904210" w:rsidP="00EC6455">
            <w:pPr>
              <w:autoSpaceDE w:val="0"/>
              <w:autoSpaceDN w:val="0"/>
              <w:adjustRightInd w:val="0"/>
              <w:spacing w:line="320" w:lineRule="atLeast"/>
              <w:ind w:left="60" w:right="60"/>
              <w:jc w:val="right"/>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243.247</w:t>
            </w:r>
          </w:p>
        </w:tc>
      </w:tr>
      <w:tr w:rsidR="00904210" w:rsidRPr="008A2991" w14:paraId="6B3853CE" w14:textId="77777777" w:rsidTr="00723148">
        <w:trPr>
          <w:cantSplit/>
        </w:trPr>
        <w:tc>
          <w:tcPr>
            <w:tcW w:w="2492" w:type="dxa"/>
            <w:vMerge/>
            <w:shd w:val="clear" w:color="auto" w:fill="E0E0E0"/>
          </w:tcPr>
          <w:p w14:paraId="4058B1C9" w14:textId="77777777" w:rsidR="00904210" w:rsidRPr="008A2991" w:rsidRDefault="00904210" w:rsidP="00EC6455">
            <w:pPr>
              <w:autoSpaceDE w:val="0"/>
              <w:autoSpaceDN w:val="0"/>
              <w:adjustRightInd w:val="0"/>
              <w:rPr>
                <w:rFonts w:ascii="Times New Roman" w:eastAsia="細明體" w:hAnsi="Times New Roman" w:cs="Times New Roman"/>
                <w:color w:val="000000" w:themeColor="text1"/>
                <w:kern w:val="0"/>
                <w:sz w:val="20"/>
                <w:szCs w:val="20"/>
              </w:rPr>
            </w:pPr>
          </w:p>
        </w:tc>
        <w:tc>
          <w:tcPr>
            <w:tcW w:w="2895" w:type="dxa"/>
            <w:shd w:val="clear" w:color="auto" w:fill="E0E0E0"/>
          </w:tcPr>
          <w:p w14:paraId="25A93B72" w14:textId="77777777" w:rsidR="00904210" w:rsidRPr="008A2991" w:rsidRDefault="00904210" w:rsidP="00EC6455">
            <w:pPr>
              <w:autoSpaceDE w:val="0"/>
              <w:autoSpaceDN w:val="0"/>
              <w:adjustRightInd w:val="0"/>
              <w:spacing w:line="320" w:lineRule="atLeast"/>
              <w:ind w:left="60" w:right="60"/>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df</w:t>
            </w:r>
          </w:p>
        </w:tc>
        <w:tc>
          <w:tcPr>
            <w:tcW w:w="2835" w:type="dxa"/>
            <w:shd w:val="clear" w:color="auto" w:fill="FFFFFF"/>
          </w:tcPr>
          <w:p w14:paraId="685A4C91" w14:textId="77777777" w:rsidR="00904210" w:rsidRPr="008A2991" w:rsidRDefault="00904210" w:rsidP="00EC6455">
            <w:pPr>
              <w:autoSpaceDE w:val="0"/>
              <w:autoSpaceDN w:val="0"/>
              <w:adjustRightInd w:val="0"/>
              <w:spacing w:line="320" w:lineRule="atLeast"/>
              <w:ind w:left="60" w:right="60"/>
              <w:jc w:val="right"/>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21</w:t>
            </w:r>
          </w:p>
        </w:tc>
      </w:tr>
      <w:tr w:rsidR="00904210" w:rsidRPr="008A2991" w14:paraId="176E8F06" w14:textId="77777777" w:rsidTr="00EC6455">
        <w:trPr>
          <w:cantSplit/>
          <w:trHeight w:val="41"/>
        </w:trPr>
        <w:tc>
          <w:tcPr>
            <w:tcW w:w="2492" w:type="dxa"/>
            <w:vMerge/>
            <w:shd w:val="clear" w:color="auto" w:fill="E0E0E0"/>
          </w:tcPr>
          <w:p w14:paraId="6AF3ECB6" w14:textId="77777777" w:rsidR="00904210" w:rsidRPr="008A2991" w:rsidRDefault="00904210" w:rsidP="00EC6455">
            <w:pPr>
              <w:autoSpaceDE w:val="0"/>
              <w:autoSpaceDN w:val="0"/>
              <w:adjustRightInd w:val="0"/>
              <w:rPr>
                <w:rFonts w:ascii="Times New Roman" w:eastAsia="細明體" w:hAnsi="Times New Roman" w:cs="Times New Roman"/>
                <w:color w:val="000000" w:themeColor="text1"/>
                <w:kern w:val="0"/>
                <w:sz w:val="20"/>
                <w:szCs w:val="20"/>
              </w:rPr>
            </w:pPr>
          </w:p>
        </w:tc>
        <w:tc>
          <w:tcPr>
            <w:tcW w:w="2895" w:type="dxa"/>
            <w:shd w:val="clear" w:color="auto" w:fill="E0E0E0"/>
          </w:tcPr>
          <w:p w14:paraId="2ACCEB18" w14:textId="77777777" w:rsidR="00904210" w:rsidRPr="008A2991" w:rsidRDefault="00904210" w:rsidP="00EC6455">
            <w:pPr>
              <w:autoSpaceDE w:val="0"/>
              <w:autoSpaceDN w:val="0"/>
              <w:adjustRightInd w:val="0"/>
              <w:spacing w:line="320" w:lineRule="atLeast"/>
              <w:ind w:left="60" w:right="60"/>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Sig.</w:t>
            </w:r>
          </w:p>
        </w:tc>
        <w:tc>
          <w:tcPr>
            <w:tcW w:w="2835" w:type="dxa"/>
            <w:shd w:val="clear" w:color="auto" w:fill="FFFFFF"/>
          </w:tcPr>
          <w:p w14:paraId="1263BDA1" w14:textId="77777777" w:rsidR="00904210" w:rsidRPr="008A2991" w:rsidRDefault="00904210" w:rsidP="00EC6455">
            <w:pPr>
              <w:autoSpaceDE w:val="0"/>
              <w:autoSpaceDN w:val="0"/>
              <w:adjustRightInd w:val="0"/>
              <w:spacing w:line="320" w:lineRule="atLeast"/>
              <w:ind w:left="60" w:right="60"/>
              <w:jc w:val="right"/>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.000</w:t>
            </w:r>
          </w:p>
        </w:tc>
      </w:tr>
    </w:tbl>
    <w:p w14:paraId="63F564B0" w14:textId="098A47F9" w:rsidR="00EF5E31" w:rsidRPr="008A2991" w:rsidRDefault="00EF5E31" w:rsidP="00437EE1">
      <w:pPr>
        <w:spacing w:after="120"/>
        <w:rPr>
          <w:rFonts w:ascii="Times New Roman" w:hAnsi="Times New Roman" w:cs="Times New Roman"/>
          <w:sz w:val="20"/>
          <w:szCs w:val="20"/>
        </w:rPr>
      </w:pPr>
      <w:r w:rsidRPr="008A2991">
        <w:rPr>
          <w:rFonts w:ascii="Times New Roman" w:hAnsi="Times New Roman" w:cs="Times New Roman"/>
          <w:sz w:val="20"/>
          <w:szCs w:val="20"/>
        </w:rPr>
        <w:t xml:space="preserve">Source: Authors' </w:t>
      </w:r>
      <w:r w:rsidR="00C408C9" w:rsidRPr="008A2991">
        <w:rPr>
          <w:rFonts w:ascii="Times New Roman" w:hAnsi="Times New Roman" w:cs="Times New Roman"/>
          <w:sz w:val="20"/>
          <w:szCs w:val="20"/>
        </w:rPr>
        <w:t>c</w:t>
      </w:r>
      <w:r w:rsidRPr="008A2991">
        <w:rPr>
          <w:rFonts w:ascii="Times New Roman" w:hAnsi="Times New Roman" w:cs="Times New Roman"/>
          <w:sz w:val="20"/>
          <w:szCs w:val="20"/>
        </w:rPr>
        <w:t>ompilation</w:t>
      </w:r>
    </w:p>
    <w:p w14:paraId="3FBFBAAB" w14:textId="7074B89A" w:rsidR="00C73802" w:rsidRPr="008A2991" w:rsidRDefault="00711F6C" w:rsidP="008D5505">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Then, based on the PCA model, we </w:t>
      </w:r>
      <w:r w:rsidR="00EF40E8" w:rsidRPr="008A2991">
        <w:rPr>
          <w:rFonts w:ascii="Times New Roman" w:hAnsi="Times New Roman" w:cs="Times New Roman"/>
          <w:sz w:val="20"/>
          <w:szCs w:val="20"/>
        </w:rPr>
        <w:t>used</w:t>
      </w:r>
      <w:r w:rsidRPr="008A2991">
        <w:rPr>
          <w:rFonts w:ascii="Times New Roman" w:hAnsi="Times New Roman" w:cs="Times New Roman"/>
          <w:sz w:val="20"/>
          <w:szCs w:val="20"/>
        </w:rPr>
        <w:t xml:space="preserve"> the empirical results to explain </w:t>
      </w:r>
      <w:r w:rsidR="00C408C9" w:rsidRPr="008A2991">
        <w:rPr>
          <w:rFonts w:ascii="Times New Roman" w:hAnsi="Times New Roman" w:cs="Times New Roman"/>
          <w:sz w:val="20"/>
          <w:szCs w:val="20"/>
        </w:rPr>
        <w:t>the t</w:t>
      </w:r>
      <w:r w:rsidRPr="008A2991">
        <w:rPr>
          <w:rFonts w:ascii="Times New Roman" w:hAnsi="Times New Roman" w:cs="Times New Roman"/>
          <w:sz w:val="20"/>
          <w:szCs w:val="20"/>
        </w:rPr>
        <w:t xml:space="preserve">otal </w:t>
      </w:r>
      <w:r w:rsidR="00C408C9" w:rsidRPr="008A2991">
        <w:rPr>
          <w:rFonts w:ascii="Times New Roman" w:hAnsi="Times New Roman" w:cs="Times New Roman"/>
          <w:sz w:val="20"/>
          <w:szCs w:val="20"/>
        </w:rPr>
        <w:t>v</w:t>
      </w:r>
      <w:r w:rsidRPr="008A2991">
        <w:rPr>
          <w:rFonts w:ascii="Times New Roman" w:hAnsi="Times New Roman" w:cs="Times New Roman"/>
          <w:sz w:val="20"/>
          <w:szCs w:val="20"/>
        </w:rPr>
        <w:t xml:space="preserve">ariance in Table 4. </w:t>
      </w:r>
      <w:r w:rsidR="00EF40E8" w:rsidRPr="008A2991">
        <w:rPr>
          <w:rFonts w:ascii="Times New Roman" w:hAnsi="Times New Roman" w:cs="Times New Roman"/>
          <w:sz w:val="20"/>
          <w:szCs w:val="20"/>
        </w:rPr>
        <w:t>Finally</w:t>
      </w:r>
      <w:r w:rsidRPr="008A2991">
        <w:rPr>
          <w:rFonts w:ascii="Times New Roman" w:hAnsi="Times New Roman" w:cs="Times New Roman"/>
          <w:sz w:val="20"/>
          <w:szCs w:val="20"/>
        </w:rPr>
        <w:t>, we identif</w:t>
      </w:r>
      <w:r w:rsidR="00EF40E8" w:rsidRPr="008A2991">
        <w:rPr>
          <w:rFonts w:ascii="Times New Roman" w:hAnsi="Times New Roman" w:cs="Times New Roman"/>
          <w:sz w:val="20"/>
          <w:szCs w:val="20"/>
        </w:rPr>
        <w:t>ied</w:t>
      </w:r>
      <w:r w:rsidRPr="008A2991">
        <w:rPr>
          <w:rFonts w:ascii="Times New Roman" w:hAnsi="Times New Roman" w:cs="Times New Roman"/>
          <w:sz w:val="20"/>
          <w:szCs w:val="20"/>
        </w:rPr>
        <w:t xml:space="preserve"> the main factors of digital banking development</w:t>
      </w:r>
      <w:r w:rsidR="00C408C9" w:rsidRPr="008A2991">
        <w:rPr>
          <w:rFonts w:ascii="Times New Roman" w:hAnsi="Times New Roman" w:cs="Times New Roman"/>
          <w:sz w:val="20"/>
          <w:szCs w:val="20"/>
        </w:rPr>
        <w:t xml:space="preserve">, as presented in </w:t>
      </w:r>
      <w:r w:rsidRPr="008A2991">
        <w:rPr>
          <w:rFonts w:ascii="Times New Roman" w:hAnsi="Times New Roman" w:cs="Times New Roman"/>
          <w:sz w:val="20"/>
          <w:szCs w:val="20"/>
        </w:rPr>
        <w:t>Table</w:t>
      </w:r>
      <w:r w:rsidR="002C550F" w:rsidRPr="008A2991">
        <w:rPr>
          <w:rFonts w:ascii="Times New Roman" w:hAnsi="Times New Roman" w:cs="Times New Roman"/>
          <w:sz w:val="20"/>
          <w:szCs w:val="20"/>
        </w:rPr>
        <w:t xml:space="preserve"> </w:t>
      </w:r>
      <w:r w:rsidRPr="008A2991">
        <w:rPr>
          <w:rFonts w:ascii="Times New Roman" w:hAnsi="Times New Roman" w:cs="Times New Roman"/>
          <w:sz w:val="20"/>
          <w:szCs w:val="20"/>
        </w:rPr>
        <w:t>5</w:t>
      </w:r>
      <w:r w:rsidR="00EF40E8" w:rsidRPr="008A2991">
        <w:rPr>
          <w:rFonts w:ascii="Times New Roman" w:hAnsi="Times New Roman" w:cs="Times New Roman"/>
          <w:sz w:val="20"/>
          <w:szCs w:val="20"/>
        </w:rPr>
        <w:t>.</w:t>
      </w:r>
    </w:p>
    <w:p w14:paraId="4371F369" w14:textId="56985B7A" w:rsidR="00711F6C" w:rsidRPr="008A2991" w:rsidRDefault="007D58E5" w:rsidP="008D5505">
      <w:pPr>
        <w:overflowPunct w:val="0"/>
        <w:spacing w:before="120" w:after="60"/>
        <w:rPr>
          <w:rFonts w:ascii="Times New Roman" w:hAnsi="Times New Roman" w:cs="Times New Roman"/>
          <w:sz w:val="20"/>
          <w:szCs w:val="20"/>
        </w:rPr>
      </w:pPr>
      <w:r w:rsidRPr="008A2991">
        <w:rPr>
          <w:rFonts w:ascii="Times New Roman" w:hAnsi="Times New Roman" w:cs="Times New Roman"/>
          <w:sz w:val="20"/>
          <w:szCs w:val="20"/>
        </w:rPr>
        <w:t>Table 4</w:t>
      </w:r>
      <w:r w:rsidR="00D42C0E" w:rsidRPr="008A2991">
        <w:rPr>
          <w:rFonts w:ascii="Times New Roman" w:hAnsi="Times New Roman" w:cs="Times New Roman" w:hint="eastAsia"/>
          <w:sz w:val="20"/>
          <w:szCs w:val="20"/>
        </w:rPr>
        <w:t xml:space="preserve"> </w:t>
      </w:r>
      <w:r w:rsidRPr="008A2991">
        <w:rPr>
          <w:rFonts w:ascii="Times New Roman" w:hAnsi="Times New Roman" w:cs="Times New Roman"/>
          <w:sz w:val="20"/>
          <w:szCs w:val="20"/>
        </w:rPr>
        <w:t xml:space="preserve">Total </w:t>
      </w:r>
      <w:r w:rsidR="00D42C0E" w:rsidRPr="008A2991">
        <w:rPr>
          <w:rFonts w:ascii="Times New Roman" w:hAnsi="Times New Roman" w:cs="Times New Roman" w:hint="eastAsia"/>
          <w:sz w:val="20"/>
          <w:szCs w:val="20"/>
        </w:rPr>
        <w:t>v</w:t>
      </w:r>
      <w:r w:rsidRPr="008A2991">
        <w:rPr>
          <w:rFonts w:ascii="Times New Roman" w:hAnsi="Times New Roman" w:cs="Times New Roman"/>
          <w:sz w:val="20"/>
          <w:szCs w:val="20"/>
        </w:rPr>
        <w:t>ariance</w:t>
      </w:r>
    </w:p>
    <w:tbl>
      <w:tblPr>
        <w:tblW w:w="8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362"/>
        <w:gridCol w:w="2363"/>
        <w:gridCol w:w="2363"/>
      </w:tblGrid>
      <w:tr w:rsidR="007D58E5" w:rsidRPr="008A2991" w14:paraId="6C081390" w14:textId="77777777" w:rsidTr="007D58E5">
        <w:trPr>
          <w:cantSplit/>
        </w:trPr>
        <w:tc>
          <w:tcPr>
            <w:tcW w:w="1139" w:type="dxa"/>
            <w:vMerge w:val="restart"/>
            <w:shd w:val="clear" w:color="auto" w:fill="FFFFFF"/>
            <w:vAlign w:val="center"/>
          </w:tcPr>
          <w:p w14:paraId="42AAD02A" w14:textId="77777777" w:rsidR="007D58E5" w:rsidRPr="008A2991" w:rsidRDefault="007D58E5" w:rsidP="007D58E5">
            <w:pPr>
              <w:autoSpaceDE w:val="0"/>
              <w:autoSpaceDN w:val="0"/>
              <w:adjustRightInd w:val="0"/>
              <w:spacing w:line="320" w:lineRule="atLeast"/>
              <w:ind w:left="60" w:right="60"/>
              <w:jc w:val="both"/>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Component</w:t>
            </w:r>
          </w:p>
        </w:tc>
        <w:tc>
          <w:tcPr>
            <w:tcW w:w="7088" w:type="dxa"/>
            <w:gridSpan w:val="3"/>
            <w:shd w:val="clear" w:color="auto" w:fill="FFFFFF"/>
            <w:vAlign w:val="bottom"/>
          </w:tcPr>
          <w:p w14:paraId="2E00B40D" w14:textId="77777777" w:rsidR="007D58E5" w:rsidRPr="008A2991" w:rsidRDefault="007D58E5" w:rsidP="007D58E5">
            <w:pPr>
              <w:autoSpaceDE w:val="0"/>
              <w:autoSpaceDN w:val="0"/>
              <w:adjustRightInd w:val="0"/>
              <w:spacing w:line="320" w:lineRule="atLeast"/>
              <w:ind w:left="60" w:right="60"/>
              <w:jc w:val="center"/>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Initial Eigenvalues</w:t>
            </w:r>
          </w:p>
        </w:tc>
      </w:tr>
      <w:tr w:rsidR="007D58E5" w:rsidRPr="008A2991" w14:paraId="072FD5BB" w14:textId="77777777" w:rsidTr="007D58E5">
        <w:trPr>
          <w:cantSplit/>
        </w:trPr>
        <w:tc>
          <w:tcPr>
            <w:tcW w:w="1139" w:type="dxa"/>
            <w:vMerge/>
            <w:shd w:val="clear" w:color="auto" w:fill="FFFFFF"/>
            <w:vAlign w:val="bottom"/>
          </w:tcPr>
          <w:p w14:paraId="0CE36809" w14:textId="77777777" w:rsidR="007D58E5" w:rsidRPr="008A2991" w:rsidRDefault="007D58E5" w:rsidP="007D58E5">
            <w:pPr>
              <w:autoSpaceDE w:val="0"/>
              <w:autoSpaceDN w:val="0"/>
              <w:adjustRightInd w:val="0"/>
              <w:jc w:val="center"/>
              <w:rPr>
                <w:rFonts w:ascii="Times New Roman" w:eastAsia="細明體" w:hAnsi="Times New Roman" w:cs="Times New Roman"/>
                <w:color w:val="000000" w:themeColor="text1"/>
                <w:kern w:val="0"/>
                <w:sz w:val="20"/>
                <w:szCs w:val="20"/>
              </w:rPr>
            </w:pPr>
          </w:p>
        </w:tc>
        <w:tc>
          <w:tcPr>
            <w:tcW w:w="2362" w:type="dxa"/>
            <w:shd w:val="clear" w:color="auto" w:fill="FFFFFF"/>
            <w:vAlign w:val="bottom"/>
          </w:tcPr>
          <w:p w14:paraId="0B1AEA54" w14:textId="77777777" w:rsidR="007D58E5" w:rsidRPr="008A2991" w:rsidRDefault="007D58E5" w:rsidP="007D58E5">
            <w:pPr>
              <w:autoSpaceDE w:val="0"/>
              <w:autoSpaceDN w:val="0"/>
              <w:adjustRightInd w:val="0"/>
              <w:spacing w:line="320" w:lineRule="atLeast"/>
              <w:ind w:left="60" w:right="60"/>
              <w:jc w:val="center"/>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Total</w:t>
            </w:r>
          </w:p>
        </w:tc>
        <w:tc>
          <w:tcPr>
            <w:tcW w:w="2363" w:type="dxa"/>
            <w:shd w:val="clear" w:color="auto" w:fill="FFFFFF"/>
            <w:vAlign w:val="bottom"/>
          </w:tcPr>
          <w:p w14:paraId="229C4FD1" w14:textId="77777777" w:rsidR="007D58E5" w:rsidRPr="008A2991" w:rsidRDefault="007D58E5" w:rsidP="007D58E5">
            <w:pPr>
              <w:autoSpaceDE w:val="0"/>
              <w:autoSpaceDN w:val="0"/>
              <w:adjustRightInd w:val="0"/>
              <w:spacing w:line="320" w:lineRule="atLeast"/>
              <w:ind w:left="60" w:right="60"/>
              <w:jc w:val="center"/>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 of Variance</w:t>
            </w:r>
          </w:p>
        </w:tc>
        <w:tc>
          <w:tcPr>
            <w:tcW w:w="2363" w:type="dxa"/>
            <w:shd w:val="clear" w:color="auto" w:fill="FFFFFF"/>
            <w:vAlign w:val="bottom"/>
          </w:tcPr>
          <w:p w14:paraId="61AEBA59" w14:textId="77777777" w:rsidR="007D58E5" w:rsidRPr="008A2991" w:rsidRDefault="007D58E5" w:rsidP="007D58E5">
            <w:pPr>
              <w:autoSpaceDE w:val="0"/>
              <w:autoSpaceDN w:val="0"/>
              <w:adjustRightInd w:val="0"/>
              <w:spacing w:line="320" w:lineRule="atLeast"/>
              <w:ind w:left="60" w:right="60"/>
              <w:jc w:val="center"/>
              <w:rPr>
                <w:rFonts w:ascii="Times New Roman" w:eastAsia="細明體" w:hAnsi="Times New Roman" w:cs="Times New Roman"/>
                <w:color w:val="000000" w:themeColor="text1"/>
                <w:kern w:val="0"/>
                <w:sz w:val="20"/>
                <w:szCs w:val="20"/>
              </w:rPr>
            </w:pPr>
            <w:r w:rsidRPr="008A2991">
              <w:rPr>
                <w:rFonts w:ascii="Times New Roman" w:eastAsia="細明體" w:hAnsi="Times New Roman" w:cs="Times New Roman"/>
                <w:color w:val="000000" w:themeColor="text1"/>
                <w:kern w:val="0"/>
                <w:sz w:val="20"/>
                <w:szCs w:val="20"/>
              </w:rPr>
              <w:t>Cumulative %</w:t>
            </w:r>
          </w:p>
        </w:tc>
      </w:tr>
      <w:tr w:rsidR="007D58E5" w:rsidRPr="008A2991" w14:paraId="0D553E53" w14:textId="77777777" w:rsidTr="00BB5664">
        <w:trPr>
          <w:cantSplit/>
        </w:trPr>
        <w:tc>
          <w:tcPr>
            <w:tcW w:w="1139" w:type="dxa"/>
            <w:shd w:val="clear" w:color="auto" w:fill="E0E0E0"/>
            <w:vAlign w:val="center"/>
          </w:tcPr>
          <w:p w14:paraId="512721E7" w14:textId="64032A39"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1</m:t>
                    </m:r>
                  </m:sub>
                </m:sSub>
              </m:oMath>
            </m:oMathPara>
          </w:p>
        </w:tc>
        <w:tc>
          <w:tcPr>
            <w:tcW w:w="2362" w:type="dxa"/>
            <w:shd w:val="clear" w:color="auto" w:fill="FFFFFF"/>
            <w:vAlign w:val="center"/>
          </w:tcPr>
          <w:p w14:paraId="654C72E2"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2.611</w:t>
            </w:r>
          </w:p>
        </w:tc>
        <w:tc>
          <w:tcPr>
            <w:tcW w:w="2363" w:type="dxa"/>
            <w:shd w:val="clear" w:color="auto" w:fill="FFFFFF"/>
            <w:vAlign w:val="center"/>
          </w:tcPr>
          <w:p w14:paraId="40E02B62"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37.294</w:t>
            </w:r>
          </w:p>
        </w:tc>
        <w:tc>
          <w:tcPr>
            <w:tcW w:w="2363" w:type="dxa"/>
            <w:shd w:val="clear" w:color="auto" w:fill="FFFFFF"/>
            <w:vAlign w:val="center"/>
          </w:tcPr>
          <w:p w14:paraId="72ED1BED"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37.294</w:t>
            </w:r>
          </w:p>
        </w:tc>
      </w:tr>
      <w:tr w:rsidR="007D58E5" w:rsidRPr="008A2991" w14:paraId="60A448DB" w14:textId="77777777" w:rsidTr="00BB5664">
        <w:trPr>
          <w:cantSplit/>
        </w:trPr>
        <w:tc>
          <w:tcPr>
            <w:tcW w:w="1139" w:type="dxa"/>
            <w:shd w:val="clear" w:color="auto" w:fill="E0E0E0"/>
            <w:vAlign w:val="center"/>
          </w:tcPr>
          <w:p w14:paraId="1A44A6EF" w14:textId="51C064C5"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2</m:t>
                    </m:r>
                  </m:sub>
                </m:sSub>
              </m:oMath>
            </m:oMathPara>
          </w:p>
        </w:tc>
        <w:tc>
          <w:tcPr>
            <w:tcW w:w="2362" w:type="dxa"/>
            <w:shd w:val="clear" w:color="auto" w:fill="FFFFFF"/>
            <w:vAlign w:val="center"/>
          </w:tcPr>
          <w:p w14:paraId="56C4DBD1"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1.714</w:t>
            </w:r>
          </w:p>
        </w:tc>
        <w:tc>
          <w:tcPr>
            <w:tcW w:w="2363" w:type="dxa"/>
            <w:shd w:val="clear" w:color="auto" w:fill="FFFFFF"/>
            <w:vAlign w:val="center"/>
          </w:tcPr>
          <w:p w14:paraId="5931B538"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24.480</w:t>
            </w:r>
          </w:p>
        </w:tc>
        <w:tc>
          <w:tcPr>
            <w:tcW w:w="2363" w:type="dxa"/>
            <w:shd w:val="clear" w:color="auto" w:fill="FFFFFF"/>
            <w:vAlign w:val="center"/>
          </w:tcPr>
          <w:p w14:paraId="63020C71"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61.775</w:t>
            </w:r>
          </w:p>
        </w:tc>
      </w:tr>
      <w:tr w:rsidR="007D58E5" w:rsidRPr="008A2991" w14:paraId="171EFF2D" w14:textId="77777777" w:rsidTr="00BB5664">
        <w:trPr>
          <w:cantSplit/>
        </w:trPr>
        <w:tc>
          <w:tcPr>
            <w:tcW w:w="1139" w:type="dxa"/>
            <w:shd w:val="clear" w:color="auto" w:fill="E0E0E0"/>
            <w:vAlign w:val="center"/>
          </w:tcPr>
          <w:p w14:paraId="198BD26D" w14:textId="1DA37486"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3</m:t>
                    </m:r>
                  </m:sub>
                </m:sSub>
              </m:oMath>
            </m:oMathPara>
          </w:p>
        </w:tc>
        <w:tc>
          <w:tcPr>
            <w:tcW w:w="2362" w:type="dxa"/>
            <w:shd w:val="clear" w:color="auto" w:fill="FFFFFF"/>
            <w:vAlign w:val="center"/>
          </w:tcPr>
          <w:p w14:paraId="24146369"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1.151</w:t>
            </w:r>
          </w:p>
        </w:tc>
        <w:tc>
          <w:tcPr>
            <w:tcW w:w="2363" w:type="dxa"/>
            <w:shd w:val="clear" w:color="auto" w:fill="FFFFFF"/>
            <w:vAlign w:val="center"/>
          </w:tcPr>
          <w:p w14:paraId="3D367562"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16.443</w:t>
            </w:r>
          </w:p>
        </w:tc>
        <w:tc>
          <w:tcPr>
            <w:tcW w:w="2363" w:type="dxa"/>
            <w:shd w:val="clear" w:color="auto" w:fill="FFFFFF"/>
            <w:vAlign w:val="center"/>
          </w:tcPr>
          <w:p w14:paraId="6D41F9F4"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78.217</w:t>
            </w:r>
          </w:p>
        </w:tc>
      </w:tr>
      <w:tr w:rsidR="007D58E5" w:rsidRPr="008A2991" w14:paraId="3FE36A0A" w14:textId="77777777" w:rsidTr="00BB5664">
        <w:trPr>
          <w:cantSplit/>
        </w:trPr>
        <w:tc>
          <w:tcPr>
            <w:tcW w:w="1139" w:type="dxa"/>
            <w:shd w:val="clear" w:color="auto" w:fill="E0E0E0"/>
            <w:vAlign w:val="center"/>
          </w:tcPr>
          <w:p w14:paraId="1B302CCE" w14:textId="4BC6F803"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4</m:t>
                    </m:r>
                  </m:sub>
                </m:sSub>
              </m:oMath>
            </m:oMathPara>
          </w:p>
        </w:tc>
        <w:tc>
          <w:tcPr>
            <w:tcW w:w="2362" w:type="dxa"/>
            <w:shd w:val="clear" w:color="auto" w:fill="FFFFFF"/>
            <w:vAlign w:val="center"/>
          </w:tcPr>
          <w:p w14:paraId="22338AF1"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.837</w:t>
            </w:r>
          </w:p>
        </w:tc>
        <w:tc>
          <w:tcPr>
            <w:tcW w:w="2363" w:type="dxa"/>
            <w:shd w:val="clear" w:color="auto" w:fill="FFFFFF"/>
            <w:vAlign w:val="center"/>
          </w:tcPr>
          <w:p w14:paraId="2E660A8E"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11.955</w:t>
            </w:r>
          </w:p>
        </w:tc>
        <w:tc>
          <w:tcPr>
            <w:tcW w:w="2363" w:type="dxa"/>
            <w:shd w:val="clear" w:color="auto" w:fill="FFFFFF"/>
            <w:vAlign w:val="center"/>
          </w:tcPr>
          <w:p w14:paraId="1BAFBC9C"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90.172</w:t>
            </w:r>
          </w:p>
        </w:tc>
      </w:tr>
      <w:tr w:rsidR="007D58E5" w:rsidRPr="008A2991" w14:paraId="52065FE9" w14:textId="77777777" w:rsidTr="00BB5664">
        <w:trPr>
          <w:cantSplit/>
        </w:trPr>
        <w:tc>
          <w:tcPr>
            <w:tcW w:w="1139" w:type="dxa"/>
            <w:shd w:val="clear" w:color="auto" w:fill="E0E0E0"/>
            <w:vAlign w:val="center"/>
          </w:tcPr>
          <w:p w14:paraId="1267D269" w14:textId="4C9E44B1"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5</m:t>
                    </m:r>
                  </m:sub>
                </m:sSub>
              </m:oMath>
            </m:oMathPara>
          </w:p>
        </w:tc>
        <w:tc>
          <w:tcPr>
            <w:tcW w:w="2362" w:type="dxa"/>
            <w:shd w:val="clear" w:color="auto" w:fill="FFFFFF"/>
            <w:vAlign w:val="center"/>
          </w:tcPr>
          <w:p w14:paraId="33FFB247"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.503</w:t>
            </w:r>
          </w:p>
        </w:tc>
        <w:tc>
          <w:tcPr>
            <w:tcW w:w="2363" w:type="dxa"/>
            <w:shd w:val="clear" w:color="auto" w:fill="FFFFFF"/>
            <w:vAlign w:val="center"/>
          </w:tcPr>
          <w:p w14:paraId="7367271B"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7.187</w:t>
            </w:r>
          </w:p>
        </w:tc>
        <w:tc>
          <w:tcPr>
            <w:tcW w:w="2363" w:type="dxa"/>
            <w:shd w:val="clear" w:color="auto" w:fill="FFFFFF"/>
            <w:vAlign w:val="center"/>
          </w:tcPr>
          <w:p w14:paraId="5754246D"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97.359</w:t>
            </w:r>
          </w:p>
        </w:tc>
      </w:tr>
      <w:tr w:rsidR="007D58E5" w:rsidRPr="008A2991" w14:paraId="2499F424" w14:textId="77777777" w:rsidTr="00BB5664">
        <w:trPr>
          <w:cantSplit/>
        </w:trPr>
        <w:tc>
          <w:tcPr>
            <w:tcW w:w="1139" w:type="dxa"/>
            <w:shd w:val="clear" w:color="auto" w:fill="E0E0E0"/>
            <w:vAlign w:val="center"/>
          </w:tcPr>
          <w:p w14:paraId="599A4037" w14:textId="6CF8BA5D"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6</m:t>
                    </m:r>
                  </m:sub>
                </m:sSub>
              </m:oMath>
            </m:oMathPara>
          </w:p>
        </w:tc>
        <w:tc>
          <w:tcPr>
            <w:tcW w:w="2362" w:type="dxa"/>
            <w:shd w:val="clear" w:color="auto" w:fill="FFFFFF"/>
            <w:vAlign w:val="center"/>
          </w:tcPr>
          <w:p w14:paraId="0D9E5E44"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.144</w:t>
            </w:r>
          </w:p>
        </w:tc>
        <w:tc>
          <w:tcPr>
            <w:tcW w:w="2363" w:type="dxa"/>
            <w:shd w:val="clear" w:color="auto" w:fill="FFFFFF"/>
            <w:vAlign w:val="center"/>
          </w:tcPr>
          <w:p w14:paraId="0F9319D8"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2.054</w:t>
            </w:r>
          </w:p>
        </w:tc>
        <w:tc>
          <w:tcPr>
            <w:tcW w:w="2363" w:type="dxa"/>
            <w:shd w:val="clear" w:color="auto" w:fill="FFFFFF"/>
            <w:vAlign w:val="center"/>
          </w:tcPr>
          <w:p w14:paraId="19531D5B"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99.412</w:t>
            </w:r>
          </w:p>
        </w:tc>
      </w:tr>
      <w:tr w:rsidR="007D58E5" w:rsidRPr="008A2991" w14:paraId="3DF06242" w14:textId="77777777" w:rsidTr="00BB5664">
        <w:trPr>
          <w:cantSplit/>
        </w:trPr>
        <w:tc>
          <w:tcPr>
            <w:tcW w:w="1139" w:type="dxa"/>
            <w:shd w:val="clear" w:color="auto" w:fill="E0E0E0"/>
            <w:vAlign w:val="center"/>
          </w:tcPr>
          <w:p w14:paraId="4137D8E1" w14:textId="371AF637" w:rsidR="007D58E5" w:rsidRPr="008A2991" w:rsidRDefault="00000000" w:rsidP="00BB5664">
            <w:pPr>
              <w:autoSpaceDE w:val="0"/>
              <w:autoSpaceDN w:val="0"/>
              <w:adjustRightInd w:val="0"/>
              <w:spacing w:line="320" w:lineRule="atLeast"/>
              <w:ind w:left="60" w:right="60"/>
              <w:jc w:val="center"/>
              <w:rPr>
                <w:rFonts w:ascii="Times New Roman" w:eastAsia="細明體" w:hAnsi="Times New Roman" w:cs="Times New Roman"/>
                <w:color w:val="264A60"/>
                <w:kern w:val="0"/>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7</m:t>
                    </m:r>
                  </m:sub>
                </m:sSub>
              </m:oMath>
            </m:oMathPara>
          </w:p>
        </w:tc>
        <w:tc>
          <w:tcPr>
            <w:tcW w:w="2362" w:type="dxa"/>
            <w:shd w:val="clear" w:color="auto" w:fill="FFFFFF"/>
            <w:vAlign w:val="center"/>
          </w:tcPr>
          <w:p w14:paraId="1687F460"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.041</w:t>
            </w:r>
          </w:p>
        </w:tc>
        <w:tc>
          <w:tcPr>
            <w:tcW w:w="2363" w:type="dxa"/>
            <w:shd w:val="clear" w:color="auto" w:fill="FFFFFF"/>
            <w:vAlign w:val="center"/>
          </w:tcPr>
          <w:p w14:paraId="78B6C909"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.588</w:t>
            </w:r>
          </w:p>
        </w:tc>
        <w:tc>
          <w:tcPr>
            <w:tcW w:w="2363" w:type="dxa"/>
            <w:shd w:val="clear" w:color="auto" w:fill="FFFFFF"/>
            <w:vAlign w:val="center"/>
          </w:tcPr>
          <w:p w14:paraId="174B4706" w14:textId="77777777" w:rsidR="007D58E5" w:rsidRPr="008A2991" w:rsidRDefault="007D58E5" w:rsidP="00BB5664">
            <w:pPr>
              <w:autoSpaceDE w:val="0"/>
              <w:autoSpaceDN w:val="0"/>
              <w:adjustRightInd w:val="0"/>
              <w:spacing w:line="320" w:lineRule="atLeast"/>
              <w:ind w:left="60" w:right="60"/>
              <w:jc w:val="center"/>
              <w:rPr>
                <w:rFonts w:ascii="Times New Roman" w:eastAsia="細明體" w:hAnsi="Times New Roman" w:cs="Times New Roman"/>
                <w:color w:val="010205"/>
                <w:kern w:val="0"/>
                <w:sz w:val="20"/>
                <w:szCs w:val="20"/>
              </w:rPr>
            </w:pPr>
            <w:r w:rsidRPr="008A2991">
              <w:rPr>
                <w:rFonts w:ascii="Times New Roman" w:eastAsia="細明體" w:hAnsi="Times New Roman" w:cs="Times New Roman"/>
                <w:color w:val="010205"/>
                <w:kern w:val="0"/>
                <w:sz w:val="20"/>
                <w:szCs w:val="20"/>
              </w:rPr>
              <w:t>100.000</w:t>
            </w:r>
          </w:p>
        </w:tc>
      </w:tr>
    </w:tbl>
    <w:p w14:paraId="2D63AD20" w14:textId="7E2AC834" w:rsidR="00EF5E31" w:rsidRPr="008A2991" w:rsidRDefault="00EF5E31" w:rsidP="00437EE1">
      <w:pPr>
        <w:spacing w:after="120"/>
        <w:rPr>
          <w:rFonts w:ascii="Times New Roman" w:hAnsi="Times New Roman" w:cs="Times New Roman"/>
          <w:sz w:val="20"/>
          <w:szCs w:val="20"/>
        </w:rPr>
      </w:pPr>
      <w:r w:rsidRPr="008A2991">
        <w:rPr>
          <w:rFonts w:ascii="Times New Roman" w:hAnsi="Times New Roman" w:cs="Times New Roman"/>
          <w:sz w:val="20"/>
          <w:szCs w:val="20"/>
        </w:rPr>
        <w:t xml:space="preserve">Source: Authors' </w:t>
      </w:r>
      <w:r w:rsidR="00C408C9" w:rsidRPr="008A2991">
        <w:rPr>
          <w:rFonts w:ascii="Times New Roman" w:hAnsi="Times New Roman" w:cs="Times New Roman"/>
          <w:sz w:val="20"/>
          <w:szCs w:val="20"/>
        </w:rPr>
        <w:t>c</w:t>
      </w:r>
      <w:r w:rsidRPr="008A2991">
        <w:rPr>
          <w:rFonts w:ascii="Times New Roman" w:hAnsi="Times New Roman" w:cs="Times New Roman"/>
          <w:sz w:val="20"/>
          <w:szCs w:val="20"/>
        </w:rPr>
        <w:t>ompilation</w:t>
      </w:r>
    </w:p>
    <w:p w14:paraId="4AF386B4" w14:textId="2EE66C5E" w:rsidR="000C7129" w:rsidRPr="008A2991" w:rsidRDefault="000C7129" w:rsidP="00BB5664">
      <w:pPr>
        <w:overflowPunct w:val="0"/>
        <w:spacing w:before="120" w:after="60"/>
        <w:rPr>
          <w:rFonts w:ascii="Times New Roman" w:hAnsi="Times New Roman" w:cs="Times New Roman"/>
          <w:sz w:val="20"/>
          <w:szCs w:val="20"/>
        </w:rPr>
      </w:pPr>
      <w:r w:rsidRPr="008A2991">
        <w:rPr>
          <w:rFonts w:ascii="Times New Roman" w:hAnsi="Times New Roman" w:cs="Times New Roman"/>
          <w:sz w:val="20"/>
          <w:szCs w:val="20"/>
        </w:rPr>
        <w:t xml:space="preserve">Table </w:t>
      </w:r>
      <w:r w:rsidR="002C550F" w:rsidRPr="008A2991">
        <w:rPr>
          <w:rFonts w:ascii="Times New Roman" w:hAnsi="Times New Roman" w:cs="Times New Roman"/>
          <w:sz w:val="20"/>
          <w:szCs w:val="20"/>
        </w:rPr>
        <w:t>5</w:t>
      </w:r>
      <w:r w:rsidR="00D42C0E" w:rsidRPr="008A2991">
        <w:rPr>
          <w:rFonts w:ascii="Times New Roman" w:hAnsi="Times New Roman" w:cs="Times New Roman" w:hint="eastAsia"/>
          <w:sz w:val="20"/>
          <w:szCs w:val="20"/>
        </w:rPr>
        <w:t xml:space="preserve"> </w:t>
      </w:r>
      <w:r w:rsidRPr="008A2991">
        <w:rPr>
          <w:rFonts w:ascii="Times New Roman" w:hAnsi="Times New Roman" w:cs="Times New Roman"/>
          <w:sz w:val="20"/>
          <w:szCs w:val="20"/>
        </w:rPr>
        <w:t xml:space="preserve">The </w:t>
      </w:r>
      <w:r w:rsidR="00B22011" w:rsidRPr="008A2991">
        <w:rPr>
          <w:rFonts w:ascii="Times New Roman" w:hAnsi="Times New Roman" w:cs="Times New Roman"/>
          <w:sz w:val="20"/>
          <w:szCs w:val="20"/>
        </w:rPr>
        <w:t xml:space="preserve">functional principal component </w:t>
      </w:r>
    </w:p>
    <w:tbl>
      <w:tblPr>
        <w:tblStyle w:val="ac"/>
        <w:tblW w:w="0" w:type="auto"/>
        <w:jc w:val="center"/>
        <w:tblLook w:val="04A0" w:firstRow="1" w:lastRow="0" w:firstColumn="1" w:lastColumn="0" w:noHBand="0" w:noVBand="1"/>
      </w:tblPr>
      <w:tblGrid>
        <w:gridCol w:w="1305"/>
        <w:gridCol w:w="1165"/>
        <w:gridCol w:w="1165"/>
        <w:gridCol w:w="1165"/>
        <w:gridCol w:w="1165"/>
        <w:gridCol w:w="1165"/>
        <w:gridCol w:w="1166"/>
      </w:tblGrid>
      <w:tr w:rsidR="006B6E16" w:rsidRPr="008A2991" w14:paraId="45440F94" w14:textId="77777777" w:rsidTr="00BB5664">
        <w:trPr>
          <w:trHeight w:val="295"/>
          <w:jc w:val="center"/>
        </w:trPr>
        <w:tc>
          <w:tcPr>
            <w:tcW w:w="1332" w:type="dxa"/>
          </w:tcPr>
          <w:p w14:paraId="7B837371"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1</m:t>
                    </m:r>
                  </m:sub>
                </m:sSub>
              </m:oMath>
            </m:oMathPara>
          </w:p>
        </w:tc>
        <w:tc>
          <w:tcPr>
            <w:tcW w:w="1185" w:type="dxa"/>
          </w:tcPr>
          <w:p w14:paraId="7CF09DE6"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2</m:t>
                    </m:r>
                  </m:sub>
                </m:sSub>
              </m:oMath>
            </m:oMathPara>
          </w:p>
        </w:tc>
        <w:tc>
          <w:tcPr>
            <w:tcW w:w="1185" w:type="dxa"/>
          </w:tcPr>
          <w:p w14:paraId="35E67778"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3</m:t>
                    </m:r>
                  </m:sub>
                </m:sSub>
              </m:oMath>
            </m:oMathPara>
          </w:p>
        </w:tc>
        <w:tc>
          <w:tcPr>
            <w:tcW w:w="1185" w:type="dxa"/>
          </w:tcPr>
          <w:p w14:paraId="6581F442"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4</m:t>
                    </m:r>
                  </m:sub>
                </m:sSub>
              </m:oMath>
            </m:oMathPara>
          </w:p>
        </w:tc>
        <w:tc>
          <w:tcPr>
            <w:tcW w:w="1185" w:type="dxa"/>
          </w:tcPr>
          <w:p w14:paraId="4584749F"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5</m:t>
                    </m:r>
                  </m:sub>
                </m:sSub>
              </m:oMath>
            </m:oMathPara>
          </w:p>
        </w:tc>
        <w:tc>
          <w:tcPr>
            <w:tcW w:w="1185" w:type="dxa"/>
          </w:tcPr>
          <w:p w14:paraId="057AE024"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6</m:t>
                    </m:r>
                  </m:sub>
                </m:sSub>
              </m:oMath>
            </m:oMathPara>
          </w:p>
        </w:tc>
        <w:tc>
          <w:tcPr>
            <w:tcW w:w="1186" w:type="dxa"/>
          </w:tcPr>
          <w:p w14:paraId="55F57987" w14:textId="77777777" w:rsidR="000C7129" w:rsidRPr="008A2991" w:rsidRDefault="00000000" w:rsidP="00EC6455">
            <w:pPr>
              <w:jc w:val="center"/>
              <w:rPr>
                <w:rFonts w:ascii="Times New Roman" w:eastAsia="標楷體" w:hAnsi="Times New Roman" w:cs="Times New Roman"/>
                <w:sz w:val="20"/>
                <w:szCs w:val="20"/>
              </w:rPr>
            </w:pPr>
            <m:oMathPara>
              <m:oMath>
                <m:sSub>
                  <m:sSubPr>
                    <m:ctrlPr>
                      <w:rPr>
                        <w:rFonts w:ascii="Cambria Math" w:eastAsia="標楷體" w:hAnsi="Cambria Math" w:cs="Times New Roman"/>
                        <w:sz w:val="20"/>
                        <w:szCs w:val="20"/>
                      </w:rPr>
                    </m:ctrlPr>
                  </m:sSubPr>
                  <m:e>
                    <m:r>
                      <w:rPr>
                        <w:rFonts w:ascii="Cambria Math" w:eastAsia="標楷體" w:hAnsi="Cambria Math" w:cs="Times New Roman"/>
                        <w:sz w:val="20"/>
                        <w:szCs w:val="20"/>
                      </w:rPr>
                      <m:t>x</m:t>
                    </m:r>
                  </m:e>
                  <m:sub>
                    <m:r>
                      <m:rPr>
                        <m:sty m:val="p"/>
                      </m:rPr>
                      <w:rPr>
                        <w:rFonts w:ascii="Cambria Math" w:eastAsia="標楷體" w:hAnsi="Cambria Math" w:cs="Times New Roman"/>
                        <w:sz w:val="20"/>
                        <w:szCs w:val="20"/>
                      </w:rPr>
                      <m:t>7</m:t>
                    </m:r>
                  </m:sub>
                </m:sSub>
              </m:oMath>
            </m:oMathPara>
          </w:p>
        </w:tc>
      </w:tr>
      <w:tr w:rsidR="006B6E16" w:rsidRPr="008A2991" w14:paraId="6F51E431" w14:textId="77777777" w:rsidTr="00BB5664">
        <w:trPr>
          <w:trHeight w:val="313"/>
          <w:jc w:val="center"/>
        </w:trPr>
        <w:tc>
          <w:tcPr>
            <w:tcW w:w="1332" w:type="dxa"/>
          </w:tcPr>
          <w:p w14:paraId="5F166AF1" w14:textId="5E95E130"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0.761</w:t>
            </w:r>
          </w:p>
        </w:tc>
        <w:tc>
          <w:tcPr>
            <w:tcW w:w="1185" w:type="dxa"/>
          </w:tcPr>
          <w:p w14:paraId="7A119902" w14:textId="583F3DAD"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0.734</w:t>
            </w:r>
          </w:p>
        </w:tc>
        <w:tc>
          <w:tcPr>
            <w:tcW w:w="1185" w:type="dxa"/>
          </w:tcPr>
          <w:p w14:paraId="1027CC6D" w14:textId="616F7D5B"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0.166</w:t>
            </w:r>
          </w:p>
        </w:tc>
        <w:tc>
          <w:tcPr>
            <w:tcW w:w="1185" w:type="dxa"/>
          </w:tcPr>
          <w:p w14:paraId="61DA3E3F" w14:textId="0B9BF031"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0.714</w:t>
            </w:r>
          </w:p>
        </w:tc>
        <w:tc>
          <w:tcPr>
            <w:tcW w:w="1185" w:type="dxa"/>
          </w:tcPr>
          <w:p w14:paraId="0C92F020" w14:textId="23741532"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0.617</w:t>
            </w:r>
          </w:p>
        </w:tc>
        <w:tc>
          <w:tcPr>
            <w:tcW w:w="1185" w:type="dxa"/>
          </w:tcPr>
          <w:p w14:paraId="7C12AB0D" w14:textId="0E61EB14"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0.050</w:t>
            </w:r>
          </w:p>
        </w:tc>
        <w:tc>
          <w:tcPr>
            <w:tcW w:w="1186" w:type="dxa"/>
          </w:tcPr>
          <w:p w14:paraId="73391119" w14:textId="15EA980F" w:rsidR="000C7129" w:rsidRPr="008A2991" w:rsidRDefault="006B6E16" w:rsidP="00EC6455">
            <w:pPr>
              <w:jc w:val="center"/>
              <w:rPr>
                <w:rFonts w:ascii="Times New Roman" w:eastAsia="標楷體" w:hAnsi="Times New Roman" w:cs="Times New Roman"/>
                <w:sz w:val="20"/>
                <w:szCs w:val="20"/>
              </w:rPr>
            </w:pPr>
            <w:r w:rsidRPr="008A2991">
              <w:rPr>
                <w:rFonts w:ascii="Times New Roman" w:eastAsia="標楷體" w:hAnsi="Times New Roman" w:cs="Times New Roman"/>
                <w:sz w:val="20"/>
                <w:szCs w:val="20"/>
              </w:rPr>
              <w:t>-0.756</w:t>
            </w:r>
          </w:p>
        </w:tc>
      </w:tr>
    </w:tbl>
    <w:p w14:paraId="10D5EB20" w14:textId="7738F9D3" w:rsidR="006C318F" w:rsidRPr="008A2991" w:rsidRDefault="000C7129" w:rsidP="00437EE1">
      <w:pPr>
        <w:spacing w:after="120"/>
        <w:rPr>
          <w:rFonts w:ascii="Times New Roman" w:hAnsi="Times New Roman" w:cs="Times New Roman"/>
          <w:sz w:val="20"/>
          <w:szCs w:val="20"/>
        </w:rPr>
      </w:pPr>
      <w:r w:rsidRPr="008A2991">
        <w:rPr>
          <w:rFonts w:ascii="Times New Roman" w:hAnsi="Times New Roman" w:cs="Times New Roman"/>
          <w:sz w:val="20"/>
          <w:szCs w:val="20"/>
        </w:rPr>
        <w:t xml:space="preserve">Source: Authors' </w:t>
      </w:r>
      <w:r w:rsidR="00C408C9" w:rsidRPr="008A2991">
        <w:rPr>
          <w:rFonts w:ascii="Times New Roman" w:hAnsi="Times New Roman" w:cs="Times New Roman"/>
          <w:sz w:val="20"/>
          <w:szCs w:val="20"/>
        </w:rPr>
        <w:t>c</w:t>
      </w:r>
      <w:r w:rsidRPr="008A2991">
        <w:rPr>
          <w:rFonts w:ascii="Times New Roman" w:hAnsi="Times New Roman" w:cs="Times New Roman"/>
          <w:sz w:val="20"/>
          <w:szCs w:val="20"/>
        </w:rPr>
        <w:t>ompilation</w:t>
      </w:r>
    </w:p>
    <w:p w14:paraId="6A5E2AF1" w14:textId="5FD4FAE7" w:rsidR="000C7129" w:rsidRPr="008A2991" w:rsidRDefault="00C408C9" w:rsidP="000C7129">
      <w:pPr>
        <w:spacing w:after="60"/>
        <w:ind w:firstLine="284"/>
        <w:jc w:val="both"/>
        <w:rPr>
          <w:rFonts w:ascii="Times New Roman" w:hAnsi="Times New Roman" w:cs="Times New Roman"/>
          <w:sz w:val="20"/>
          <w:szCs w:val="20"/>
        </w:rPr>
      </w:pPr>
      <w:r w:rsidRPr="008A2991">
        <w:rPr>
          <w:rFonts w:ascii="Times New Roman" w:hAnsi="Times New Roman" w:cs="Times New Roman"/>
          <w:sz w:val="20"/>
          <w:szCs w:val="20"/>
        </w:rPr>
        <w:t>Following this</w:t>
      </w:r>
      <w:r w:rsidR="000C7129" w:rsidRPr="008A2991">
        <w:rPr>
          <w:rFonts w:ascii="Times New Roman" w:hAnsi="Times New Roman" w:cs="Times New Roman"/>
          <w:sz w:val="20"/>
          <w:szCs w:val="20"/>
        </w:rPr>
        <w:t>, we used a different focus on the major variables to analyze and obtain the following findings:</w:t>
      </w:r>
    </w:p>
    <w:p w14:paraId="71C256E3" w14:textId="77777777" w:rsidR="00BB5664" w:rsidRPr="008A2991" w:rsidRDefault="00BB5664" w:rsidP="000C7129">
      <w:pPr>
        <w:spacing w:after="60"/>
        <w:ind w:firstLine="284"/>
        <w:jc w:val="both"/>
        <w:rPr>
          <w:rFonts w:ascii="Times New Roman" w:hAnsi="Times New Roman" w:cs="Times New Roman"/>
          <w:sz w:val="20"/>
          <w:szCs w:val="20"/>
        </w:rPr>
      </w:pPr>
    </w:p>
    <w:p w14:paraId="39A254E4" w14:textId="77777777"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The Card in Force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8A2991">
        <w:rPr>
          <w:rFonts w:ascii="Times New Roman" w:hAnsi="Times New Roman" w:cs="Times New Roman"/>
          <w:sz w:val="20"/>
          <w:szCs w:val="20"/>
        </w:rPr>
        <w:t>):</w:t>
      </w:r>
    </w:p>
    <w:p w14:paraId="239F738A" w14:textId="3CC55BCA" w:rsidR="000C7129" w:rsidRPr="008A2991" w:rsidRDefault="000C7129" w:rsidP="00886C23">
      <w:pPr>
        <w:spacing w:beforeLines="50" w:before="180" w:afterLines="50" w:after="180"/>
        <w:ind w:firstLineChars="200" w:firstLine="400"/>
        <w:jc w:val="both"/>
        <w:rPr>
          <w:rFonts w:ascii="Times New Roman" w:hAnsi="Times New Roman" w:cs="Times New Roman"/>
          <w:sz w:val="20"/>
          <w:szCs w:val="20"/>
        </w:rPr>
      </w:pPr>
      <w:bookmarkStart w:id="12" w:name="_Hlk79321211"/>
      <w:r w:rsidRPr="008A2991">
        <w:rPr>
          <w:rFonts w:ascii="Times New Roman" w:hAnsi="Times New Roman" w:cs="Times New Roman"/>
          <w:sz w:val="20"/>
          <w:szCs w:val="20"/>
        </w:rPr>
        <w:t>The empirical results in Table 3 reveal that the effect of card in force 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8A2991">
        <w:rPr>
          <w:rFonts w:ascii="Times New Roman" w:hAnsi="Times New Roman" w:cs="Times New Roman"/>
          <w:sz w:val="20"/>
          <w:szCs w:val="20"/>
        </w:rPr>
        <w:t>= 0.</w:t>
      </w:r>
      <w:r w:rsidR="001B458F" w:rsidRPr="008A2991">
        <w:rPr>
          <w:rFonts w:ascii="Times New Roman" w:hAnsi="Times New Roman" w:cs="Times New Roman"/>
          <w:sz w:val="20"/>
          <w:szCs w:val="20"/>
        </w:rPr>
        <w:t>761</w:t>
      </w:r>
      <w:r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Pr="008A2991">
        <w:rPr>
          <w:rFonts w:ascii="Times New Roman" w:hAnsi="Times New Roman" w:cs="Times New Roman"/>
          <w:sz w:val="20"/>
          <w:szCs w:val="20"/>
        </w:rPr>
        <w:t xml:space="preserve">) is strong. </w:t>
      </w:r>
      <w:bookmarkEnd w:id="12"/>
      <w:r w:rsidR="002C550F" w:rsidRPr="008A2991">
        <w:rPr>
          <w:rFonts w:ascii="Times New Roman" w:hAnsi="Times New Roman" w:cs="Times New Roman"/>
          <w:sz w:val="20"/>
          <w:szCs w:val="20"/>
        </w:rPr>
        <w:t xml:space="preserve">Studies have shown that when </w:t>
      </w:r>
      <w:r w:rsidR="006D2201" w:rsidRPr="008A2991">
        <w:rPr>
          <w:rFonts w:ascii="Times New Roman" w:hAnsi="Times New Roman" w:cs="Times New Roman"/>
          <w:sz w:val="20"/>
          <w:szCs w:val="20"/>
        </w:rPr>
        <w:t>it comes to</w:t>
      </w:r>
      <w:r w:rsidR="002C550F" w:rsidRPr="008A2991">
        <w:rPr>
          <w:rFonts w:ascii="Times New Roman" w:hAnsi="Times New Roman" w:cs="Times New Roman"/>
          <w:sz w:val="20"/>
          <w:szCs w:val="20"/>
        </w:rPr>
        <w:t xml:space="preserve"> digit</w:t>
      </w:r>
      <w:r w:rsidR="006D2201" w:rsidRPr="008A2991">
        <w:rPr>
          <w:rFonts w:ascii="Times New Roman" w:hAnsi="Times New Roman" w:cs="Times New Roman"/>
          <w:sz w:val="20"/>
          <w:szCs w:val="20"/>
        </w:rPr>
        <w:t>ization,</w:t>
      </w:r>
      <w:r w:rsidR="002C550F" w:rsidRPr="008A2991">
        <w:rPr>
          <w:rFonts w:ascii="Times New Roman" w:hAnsi="Times New Roman" w:cs="Times New Roman"/>
          <w:sz w:val="20"/>
          <w:szCs w:val="20"/>
        </w:rPr>
        <w:t xml:space="preserve"> banks can </w:t>
      </w:r>
      <w:r w:rsidR="006D2201" w:rsidRPr="008A2991">
        <w:rPr>
          <w:rFonts w:ascii="Times New Roman" w:hAnsi="Times New Roman" w:cs="Times New Roman"/>
          <w:sz w:val="20"/>
          <w:szCs w:val="20"/>
        </w:rPr>
        <w:t>use their</w:t>
      </w:r>
      <w:r w:rsidR="002C550F" w:rsidRPr="008A2991">
        <w:rPr>
          <w:rFonts w:ascii="Times New Roman" w:hAnsi="Times New Roman" w:cs="Times New Roman"/>
          <w:sz w:val="20"/>
          <w:szCs w:val="20"/>
        </w:rPr>
        <w:t xml:space="preserve"> </w:t>
      </w:r>
      <w:r w:rsidR="002C550F" w:rsidRPr="008A2991">
        <w:rPr>
          <w:rFonts w:ascii="Times New Roman" w:hAnsi="Times New Roman" w:cs="Times New Roman"/>
          <w:sz w:val="20"/>
          <w:szCs w:val="20"/>
        </w:rPr>
        <w:lastRenderedPageBreak/>
        <w:t>existing customers as an effective</w:t>
      </w:r>
      <w:r w:rsidR="006D2201" w:rsidRPr="008A2991">
        <w:rPr>
          <w:rFonts w:ascii="Times New Roman" w:hAnsi="Times New Roman" w:cs="Times New Roman"/>
          <w:sz w:val="20"/>
          <w:szCs w:val="20"/>
        </w:rPr>
        <w:t xml:space="preserve"> promotion</w:t>
      </w:r>
      <w:r w:rsidR="002C550F" w:rsidRPr="008A2991">
        <w:rPr>
          <w:rFonts w:ascii="Times New Roman" w:hAnsi="Times New Roman" w:cs="Times New Roman"/>
          <w:sz w:val="20"/>
          <w:szCs w:val="20"/>
        </w:rPr>
        <w:t xml:space="preserve"> strategy</w:t>
      </w:r>
      <w:r w:rsidR="00C408C9" w:rsidRPr="008A2991">
        <w:rPr>
          <w:rFonts w:ascii="Times New Roman" w:hAnsi="Times New Roman" w:cs="Times New Roman"/>
          <w:sz w:val="20"/>
          <w:szCs w:val="20"/>
        </w:rPr>
        <w:t>; t</w:t>
      </w:r>
      <w:r w:rsidR="002C550F" w:rsidRPr="008A2991">
        <w:rPr>
          <w:rFonts w:ascii="Times New Roman" w:hAnsi="Times New Roman" w:cs="Times New Roman"/>
          <w:sz w:val="20"/>
          <w:szCs w:val="20"/>
        </w:rPr>
        <w:t xml:space="preserve">hey can </w:t>
      </w:r>
      <w:r w:rsidR="006D2201" w:rsidRPr="008A2991">
        <w:rPr>
          <w:rFonts w:ascii="Times New Roman" w:hAnsi="Times New Roman" w:cs="Times New Roman"/>
          <w:sz w:val="20"/>
          <w:szCs w:val="20"/>
        </w:rPr>
        <w:t xml:space="preserve">even </w:t>
      </w:r>
      <w:r w:rsidR="002C550F" w:rsidRPr="008A2991">
        <w:rPr>
          <w:rFonts w:ascii="Times New Roman" w:hAnsi="Times New Roman" w:cs="Times New Roman"/>
          <w:sz w:val="20"/>
          <w:szCs w:val="20"/>
        </w:rPr>
        <w:t xml:space="preserve">promote </w:t>
      </w:r>
      <w:r w:rsidR="00193035" w:rsidRPr="008A2991">
        <w:rPr>
          <w:rFonts w:ascii="Times New Roman" w:hAnsi="Times New Roman" w:cs="Times New Roman"/>
          <w:sz w:val="20"/>
          <w:szCs w:val="20"/>
        </w:rPr>
        <w:t xml:space="preserve">their </w:t>
      </w:r>
      <w:r w:rsidR="002C550F" w:rsidRPr="008A2991">
        <w:rPr>
          <w:rFonts w:ascii="Times New Roman" w:hAnsi="Times New Roman" w:cs="Times New Roman"/>
          <w:sz w:val="20"/>
          <w:szCs w:val="20"/>
        </w:rPr>
        <w:t>digital account business to existing credit card users, thereby increasing the number of digital accounts opened. The</w:t>
      </w:r>
      <w:r w:rsidR="00193035" w:rsidRPr="008A2991">
        <w:rPr>
          <w:rFonts w:ascii="Times New Roman" w:hAnsi="Times New Roman" w:cs="Times New Roman"/>
          <w:sz w:val="20"/>
          <w:szCs w:val="20"/>
        </w:rPr>
        <w:t>re are</w:t>
      </w:r>
      <w:r w:rsidR="002C550F" w:rsidRPr="008A2991">
        <w:rPr>
          <w:rFonts w:ascii="Times New Roman" w:hAnsi="Times New Roman" w:cs="Times New Roman"/>
          <w:sz w:val="20"/>
          <w:szCs w:val="20"/>
        </w:rPr>
        <w:t xml:space="preserve"> two main reasons</w:t>
      </w:r>
      <w:r w:rsidR="00193035" w:rsidRPr="008A2991">
        <w:rPr>
          <w:rFonts w:ascii="Times New Roman" w:hAnsi="Times New Roman" w:cs="Times New Roman"/>
          <w:sz w:val="20"/>
          <w:szCs w:val="20"/>
        </w:rPr>
        <w:t xml:space="preserve"> for this</w:t>
      </w:r>
      <w:r w:rsidR="002C550F" w:rsidRPr="008A2991">
        <w:rPr>
          <w:rFonts w:ascii="Times New Roman" w:hAnsi="Times New Roman" w:cs="Times New Roman"/>
          <w:sz w:val="20"/>
          <w:szCs w:val="20"/>
        </w:rPr>
        <w:t>.</w:t>
      </w:r>
      <w:r w:rsidR="00193035" w:rsidRPr="008A2991">
        <w:rPr>
          <w:rFonts w:ascii="Times New Roman" w:hAnsi="Times New Roman" w:cs="Times New Roman"/>
          <w:sz w:val="20"/>
          <w:szCs w:val="20"/>
        </w:rPr>
        <w:t xml:space="preserve"> F</w:t>
      </w:r>
      <w:r w:rsidR="002C550F" w:rsidRPr="008A2991">
        <w:rPr>
          <w:rFonts w:ascii="Times New Roman" w:hAnsi="Times New Roman" w:cs="Times New Roman"/>
          <w:sz w:val="20"/>
          <w:szCs w:val="20"/>
        </w:rPr>
        <w:t>irst</w:t>
      </w:r>
      <w:r w:rsidR="00193035" w:rsidRPr="008A2991">
        <w:rPr>
          <w:rFonts w:ascii="Times New Roman" w:hAnsi="Times New Roman" w:cs="Times New Roman"/>
          <w:sz w:val="20"/>
          <w:szCs w:val="20"/>
        </w:rPr>
        <w:t>,</w:t>
      </w:r>
      <w:r w:rsidR="002C550F" w:rsidRPr="008A2991">
        <w:rPr>
          <w:rFonts w:ascii="Times New Roman" w:hAnsi="Times New Roman" w:cs="Times New Roman"/>
          <w:sz w:val="20"/>
          <w:szCs w:val="20"/>
        </w:rPr>
        <w:t xml:space="preserve"> digital account payments need to be bound to a credit card. Second, </w:t>
      </w:r>
      <w:r w:rsidR="00193035" w:rsidRPr="008A2991">
        <w:rPr>
          <w:rFonts w:ascii="Times New Roman" w:hAnsi="Times New Roman" w:cs="Times New Roman"/>
          <w:sz w:val="20"/>
          <w:szCs w:val="20"/>
        </w:rPr>
        <w:t>during</w:t>
      </w:r>
      <w:r w:rsidR="002C550F" w:rsidRPr="008A2991">
        <w:rPr>
          <w:rFonts w:ascii="Times New Roman" w:hAnsi="Times New Roman" w:cs="Times New Roman"/>
          <w:sz w:val="20"/>
          <w:szCs w:val="20"/>
        </w:rPr>
        <w:t xml:space="preserve"> the </w:t>
      </w:r>
      <w:r w:rsidR="00193035" w:rsidRPr="008A2991">
        <w:rPr>
          <w:rFonts w:ascii="Times New Roman" w:hAnsi="Times New Roman" w:cs="Times New Roman"/>
          <w:sz w:val="20"/>
          <w:szCs w:val="20"/>
        </w:rPr>
        <w:t>pan</w:t>
      </w:r>
      <w:r w:rsidR="002C550F" w:rsidRPr="008A2991">
        <w:rPr>
          <w:rFonts w:ascii="Times New Roman" w:hAnsi="Times New Roman" w:cs="Times New Roman"/>
          <w:sz w:val="20"/>
          <w:szCs w:val="20"/>
        </w:rPr>
        <w:t>demic, people prefer</w:t>
      </w:r>
      <w:r w:rsidR="00193035" w:rsidRPr="008A2991">
        <w:rPr>
          <w:rFonts w:ascii="Times New Roman" w:hAnsi="Times New Roman" w:cs="Times New Roman"/>
          <w:sz w:val="20"/>
          <w:szCs w:val="20"/>
        </w:rPr>
        <w:t>red</w:t>
      </w:r>
      <w:r w:rsidR="002C550F" w:rsidRPr="008A2991">
        <w:rPr>
          <w:rFonts w:ascii="Times New Roman" w:hAnsi="Times New Roman" w:cs="Times New Roman"/>
          <w:sz w:val="20"/>
          <w:szCs w:val="20"/>
        </w:rPr>
        <w:t xml:space="preserve"> cashless payment</w:t>
      </w:r>
      <w:r w:rsidR="00193035" w:rsidRPr="008A2991">
        <w:rPr>
          <w:rFonts w:ascii="Times New Roman" w:hAnsi="Times New Roman" w:cs="Times New Roman"/>
          <w:sz w:val="20"/>
          <w:szCs w:val="20"/>
        </w:rPr>
        <w:t>s</w:t>
      </w:r>
      <w:r w:rsidR="002C550F" w:rsidRPr="008A2991">
        <w:rPr>
          <w:rFonts w:ascii="Times New Roman" w:hAnsi="Times New Roman" w:cs="Times New Roman"/>
          <w:sz w:val="20"/>
          <w:szCs w:val="20"/>
        </w:rPr>
        <w:t xml:space="preserve"> or electronic payment</w:t>
      </w:r>
      <w:r w:rsidR="00193035" w:rsidRPr="008A2991">
        <w:rPr>
          <w:rFonts w:ascii="Times New Roman" w:hAnsi="Times New Roman" w:cs="Times New Roman"/>
          <w:sz w:val="20"/>
          <w:szCs w:val="20"/>
        </w:rPr>
        <w:t>s</w:t>
      </w:r>
      <w:r w:rsidR="002C550F" w:rsidRPr="008A2991">
        <w:rPr>
          <w:rFonts w:ascii="Times New Roman" w:hAnsi="Times New Roman" w:cs="Times New Roman"/>
          <w:sz w:val="20"/>
          <w:szCs w:val="20"/>
        </w:rPr>
        <w:t xml:space="preserve">, </w:t>
      </w:r>
      <w:r w:rsidR="00193035" w:rsidRPr="008A2991">
        <w:rPr>
          <w:rFonts w:ascii="Times New Roman" w:hAnsi="Times New Roman" w:cs="Times New Roman"/>
          <w:sz w:val="20"/>
          <w:szCs w:val="20"/>
        </w:rPr>
        <w:t xml:space="preserve">which led to an </w:t>
      </w:r>
      <w:r w:rsidR="002C550F" w:rsidRPr="008A2991">
        <w:rPr>
          <w:rFonts w:ascii="Times New Roman" w:hAnsi="Times New Roman" w:cs="Times New Roman"/>
          <w:sz w:val="20"/>
          <w:szCs w:val="20"/>
        </w:rPr>
        <w:t>increas</w:t>
      </w:r>
      <w:r w:rsidR="00193035" w:rsidRPr="008A2991">
        <w:rPr>
          <w:rFonts w:ascii="Times New Roman" w:hAnsi="Times New Roman" w:cs="Times New Roman"/>
          <w:sz w:val="20"/>
          <w:szCs w:val="20"/>
        </w:rPr>
        <w:t>e in the amount of</w:t>
      </w:r>
      <w:r w:rsidR="002C550F" w:rsidRPr="008A2991">
        <w:rPr>
          <w:rFonts w:ascii="Times New Roman" w:hAnsi="Times New Roman" w:cs="Times New Roman"/>
          <w:sz w:val="20"/>
          <w:szCs w:val="20"/>
        </w:rPr>
        <w:t xml:space="preserve"> people willing </w:t>
      </w:r>
      <w:r w:rsidR="00193035" w:rsidRPr="008A2991">
        <w:rPr>
          <w:rFonts w:ascii="Times New Roman" w:hAnsi="Times New Roman" w:cs="Times New Roman"/>
          <w:sz w:val="20"/>
          <w:szCs w:val="20"/>
        </w:rPr>
        <w:t xml:space="preserve">to </w:t>
      </w:r>
      <w:r w:rsidR="002C550F" w:rsidRPr="008A2991">
        <w:rPr>
          <w:rFonts w:ascii="Times New Roman" w:hAnsi="Times New Roman" w:cs="Times New Roman"/>
          <w:sz w:val="20"/>
          <w:szCs w:val="20"/>
        </w:rPr>
        <w:t>open digital accounts. Therefore</w:t>
      </w:r>
      <w:r w:rsidR="00193035" w:rsidRPr="008A2991">
        <w:rPr>
          <w:rFonts w:ascii="Times New Roman" w:hAnsi="Times New Roman" w:cs="Times New Roman"/>
          <w:sz w:val="20"/>
          <w:szCs w:val="20"/>
        </w:rPr>
        <w:t>, c</w:t>
      </w:r>
      <w:r w:rsidR="002C550F" w:rsidRPr="008A2991">
        <w:rPr>
          <w:rFonts w:ascii="Times New Roman" w:hAnsi="Times New Roman" w:cs="Times New Roman"/>
          <w:sz w:val="20"/>
          <w:szCs w:val="20"/>
        </w:rPr>
        <w:t>redit card</w:t>
      </w:r>
      <w:r w:rsidR="00193035" w:rsidRPr="008A2991">
        <w:rPr>
          <w:rFonts w:ascii="Times New Roman" w:hAnsi="Times New Roman" w:cs="Times New Roman"/>
          <w:sz w:val="20"/>
          <w:szCs w:val="20"/>
        </w:rPr>
        <w:t>s</w:t>
      </w:r>
      <w:r w:rsidR="002C550F" w:rsidRPr="008A2991">
        <w:rPr>
          <w:rFonts w:ascii="Times New Roman" w:hAnsi="Times New Roman" w:cs="Times New Roman"/>
          <w:sz w:val="20"/>
          <w:szCs w:val="20"/>
        </w:rPr>
        <w:t xml:space="preserve"> make it easier to promote digital accounts</w:t>
      </w:r>
      <w:r w:rsidRPr="008A2991">
        <w:rPr>
          <w:rFonts w:ascii="Times New Roman" w:hAnsi="Times New Roman" w:cs="Times New Roman"/>
          <w:sz w:val="20"/>
          <w:szCs w:val="20"/>
        </w:rPr>
        <w:t>.</w:t>
      </w:r>
    </w:p>
    <w:p w14:paraId="37203E44" w14:textId="77777777"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Active Cards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2</m:t>
            </m:r>
          </m:sub>
        </m:sSub>
      </m:oMath>
      <w:r w:rsidRPr="008A2991">
        <w:rPr>
          <w:rFonts w:ascii="Times New Roman" w:hAnsi="Times New Roman" w:cs="Times New Roman"/>
          <w:sz w:val="20"/>
          <w:szCs w:val="20"/>
        </w:rPr>
        <w:t xml:space="preserve">): </w:t>
      </w:r>
    </w:p>
    <w:p w14:paraId="6B0174F7" w14:textId="7F53237D" w:rsidR="000C7129" w:rsidRPr="008A2991" w:rsidRDefault="00316F72"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As </w:t>
      </w:r>
      <w:r w:rsidR="000C7129" w:rsidRPr="008A2991">
        <w:rPr>
          <w:rFonts w:ascii="Times New Roman" w:hAnsi="Times New Roman" w:cs="Times New Roman"/>
          <w:sz w:val="20"/>
          <w:szCs w:val="20"/>
        </w:rPr>
        <w:t xml:space="preserve">Table 3 </w:t>
      </w:r>
      <w:r w:rsidRPr="008A2991">
        <w:rPr>
          <w:rFonts w:ascii="Times New Roman" w:hAnsi="Times New Roman" w:cs="Times New Roman"/>
          <w:sz w:val="20"/>
          <w:szCs w:val="20"/>
        </w:rPr>
        <w:t>show,</w:t>
      </w:r>
      <w:r w:rsidR="000C7129" w:rsidRPr="008A2991">
        <w:rPr>
          <w:rFonts w:ascii="Times New Roman" w:hAnsi="Times New Roman" w:cs="Times New Roman"/>
          <w:sz w:val="20"/>
          <w:szCs w:val="20"/>
        </w:rPr>
        <w:t xml:space="preserve"> similar results</w:t>
      </w:r>
      <w:r w:rsidR="00F8450D"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were obtained </w:t>
      </w:r>
      <w:r w:rsidR="00F8450D" w:rsidRPr="008A2991">
        <w:rPr>
          <w:rFonts w:ascii="Times New Roman" w:hAnsi="Times New Roman" w:cs="Times New Roman"/>
          <w:sz w:val="20"/>
          <w:szCs w:val="20"/>
        </w:rPr>
        <w:t>in this category</w:t>
      </w:r>
      <w:r w:rsidRPr="008A2991">
        <w:rPr>
          <w:rFonts w:ascii="Times New Roman" w:hAnsi="Times New Roman" w:cs="Times New Roman"/>
          <w:sz w:val="20"/>
          <w:szCs w:val="20"/>
        </w:rPr>
        <w:t>:</w:t>
      </w:r>
      <w:r w:rsidR="000C7129" w:rsidRPr="008A2991">
        <w:rPr>
          <w:rFonts w:ascii="Times New Roman" w:hAnsi="Times New Roman" w:cs="Times New Roman"/>
          <w:sz w:val="20"/>
          <w:szCs w:val="20"/>
        </w:rPr>
        <w:t xml:space="preserve"> the effects of active cards 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2</m:t>
            </m:r>
          </m:sub>
        </m:sSub>
      </m:oMath>
      <w:r w:rsidR="000C7129" w:rsidRPr="008A2991">
        <w:rPr>
          <w:rFonts w:ascii="Times New Roman" w:hAnsi="Times New Roman" w:cs="Times New Roman"/>
          <w:sz w:val="20"/>
          <w:szCs w:val="20"/>
        </w:rPr>
        <w:t>= 0.</w:t>
      </w:r>
      <w:r w:rsidR="001B458F" w:rsidRPr="008A2991">
        <w:rPr>
          <w:rFonts w:ascii="Times New Roman" w:hAnsi="Times New Roman" w:cs="Times New Roman"/>
          <w:sz w:val="20"/>
          <w:szCs w:val="20"/>
        </w:rPr>
        <w:t>734</w:t>
      </w:r>
      <w:r w:rsidR="000C7129"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000C7129" w:rsidRPr="008A2991">
        <w:rPr>
          <w:rFonts w:ascii="Times New Roman" w:hAnsi="Times New Roman" w:cs="Times New Roman"/>
          <w:sz w:val="20"/>
          <w:szCs w:val="20"/>
        </w:rPr>
        <w:t xml:space="preserve">) is strong. </w:t>
      </w:r>
      <w:r w:rsidR="00886C23" w:rsidRPr="008A2991">
        <w:rPr>
          <w:rFonts w:ascii="Times New Roman" w:hAnsi="Times New Roman" w:cs="Times New Roman"/>
          <w:sz w:val="20"/>
          <w:szCs w:val="20"/>
        </w:rPr>
        <w:t xml:space="preserve">As </w:t>
      </w:r>
      <w:r w:rsidRPr="008A2991">
        <w:rPr>
          <w:rFonts w:ascii="Times New Roman" w:hAnsi="Times New Roman" w:cs="Times New Roman"/>
          <w:sz w:val="20"/>
          <w:szCs w:val="20"/>
        </w:rPr>
        <w:t>noted e</w:t>
      </w:r>
      <w:r w:rsidR="00886C23" w:rsidRPr="008A2991">
        <w:rPr>
          <w:rFonts w:ascii="Times New Roman" w:hAnsi="Times New Roman" w:cs="Times New Roman"/>
          <w:sz w:val="20"/>
          <w:szCs w:val="20"/>
        </w:rPr>
        <w:t xml:space="preserve">arlier, banks use existing credit card users to promote </w:t>
      </w:r>
      <w:r w:rsidR="00F8450D" w:rsidRPr="008A2991">
        <w:rPr>
          <w:rFonts w:ascii="Times New Roman" w:hAnsi="Times New Roman" w:cs="Times New Roman"/>
          <w:sz w:val="20"/>
          <w:szCs w:val="20"/>
        </w:rPr>
        <w:t xml:space="preserve">their </w:t>
      </w:r>
      <w:r w:rsidR="00886C23" w:rsidRPr="008A2991">
        <w:rPr>
          <w:rFonts w:ascii="Times New Roman" w:hAnsi="Times New Roman" w:cs="Times New Roman"/>
          <w:sz w:val="20"/>
          <w:szCs w:val="20"/>
        </w:rPr>
        <w:t>digital account business. This will</w:t>
      </w:r>
      <w:r w:rsidR="00F8450D" w:rsidRPr="008A2991">
        <w:rPr>
          <w:rFonts w:ascii="Times New Roman" w:hAnsi="Times New Roman" w:cs="Times New Roman"/>
          <w:sz w:val="20"/>
          <w:szCs w:val="20"/>
        </w:rPr>
        <w:t xml:space="preserve"> cause an</w:t>
      </w:r>
      <w:r w:rsidR="00886C23" w:rsidRPr="008A2991">
        <w:rPr>
          <w:rFonts w:ascii="Times New Roman" w:hAnsi="Times New Roman" w:cs="Times New Roman"/>
          <w:sz w:val="20"/>
          <w:szCs w:val="20"/>
        </w:rPr>
        <w:t xml:space="preserve"> increase </w:t>
      </w:r>
      <w:r w:rsidR="00F8450D" w:rsidRPr="008A2991">
        <w:rPr>
          <w:rFonts w:ascii="Times New Roman" w:hAnsi="Times New Roman" w:cs="Times New Roman"/>
          <w:sz w:val="20"/>
          <w:szCs w:val="20"/>
        </w:rPr>
        <w:t xml:space="preserve">in </w:t>
      </w:r>
      <w:r w:rsidR="00886C23" w:rsidRPr="008A2991">
        <w:rPr>
          <w:rFonts w:ascii="Times New Roman" w:hAnsi="Times New Roman" w:cs="Times New Roman"/>
          <w:sz w:val="20"/>
          <w:szCs w:val="20"/>
        </w:rPr>
        <w:t>the number of digital accounts</w:t>
      </w:r>
      <w:r w:rsidR="00F8450D"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even if </w:t>
      </w:r>
      <w:r w:rsidR="00F8450D" w:rsidRPr="008A2991">
        <w:rPr>
          <w:rFonts w:ascii="Times New Roman" w:hAnsi="Times New Roman" w:cs="Times New Roman"/>
          <w:sz w:val="20"/>
          <w:szCs w:val="20"/>
        </w:rPr>
        <w:t xml:space="preserve">the </w:t>
      </w:r>
      <w:r w:rsidR="00886C23" w:rsidRPr="008A2991">
        <w:rPr>
          <w:rFonts w:ascii="Times New Roman" w:hAnsi="Times New Roman" w:cs="Times New Roman"/>
          <w:sz w:val="20"/>
          <w:szCs w:val="20"/>
        </w:rPr>
        <w:t xml:space="preserve">credit card users do not use </w:t>
      </w:r>
      <w:r w:rsidR="00F8450D" w:rsidRPr="008A2991">
        <w:rPr>
          <w:rFonts w:ascii="Times New Roman" w:hAnsi="Times New Roman" w:cs="Times New Roman"/>
          <w:sz w:val="20"/>
          <w:szCs w:val="20"/>
        </w:rPr>
        <w:t>them</w:t>
      </w:r>
      <w:r w:rsidR="00886C23" w:rsidRPr="008A2991">
        <w:rPr>
          <w:rFonts w:ascii="Times New Roman" w:hAnsi="Times New Roman" w:cs="Times New Roman"/>
          <w:sz w:val="20"/>
          <w:szCs w:val="20"/>
        </w:rPr>
        <w:t xml:space="preserve">. </w:t>
      </w:r>
      <w:r w:rsidRPr="008A2991">
        <w:rPr>
          <w:rFonts w:ascii="Times New Roman" w:hAnsi="Times New Roman" w:cs="Times New Roman"/>
          <w:sz w:val="20"/>
          <w:szCs w:val="20"/>
        </w:rPr>
        <w:t>In a</w:t>
      </w:r>
      <w:r w:rsidR="00886C23" w:rsidRPr="008A2991">
        <w:rPr>
          <w:rFonts w:ascii="Times New Roman" w:hAnsi="Times New Roman" w:cs="Times New Roman"/>
          <w:sz w:val="20"/>
          <w:szCs w:val="20"/>
        </w:rPr>
        <w:t>ddition, people need a credit card to apply for a digital account. Therefore, it is easier for users with credit cards to open an account.</w:t>
      </w:r>
      <w:r w:rsidR="00F8450D"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Meanwhile, </w:t>
      </w:r>
      <w:r w:rsidR="00F8450D" w:rsidRPr="008A2991">
        <w:rPr>
          <w:rFonts w:ascii="Times New Roman" w:hAnsi="Times New Roman" w:cs="Times New Roman"/>
          <w:sz w:val="20"/>
          <w:szCs w:val="20"/>
        </w:rPr>
        <w:t>during</w:t>
      </w:r>
      <w:r w:rsidR="00886C23" w:rsidRPr="008A2991">
        <w:rPr>
          <w:rFonts w:ascii="Times New Roman" w:hAnsi="Times New Roman" w:cs="Times New Roman"/>
          <w:sz w:val="20"/>
          <w:szCs w:val="20"/>
        </w:rPr>
        <w:t xml:space="preserve"> the </w:t>
      </w:r>
      <w:r w:rsidR="00F8450D" w:rsidRPr="008A2991">
        <w:rPr>
          <w:rFonts w:ascii="Times New Roman" w:hAnsi="Times New Roman" w:cs="Times New Roman"/>
          <w:sz w:val="20"/>
          <w:szCs w:val="20"/>
        </w:rPr>
        <w:t>pan</w:t>
      </w:r>
      <w:r w:rsidR="00886C23" w:rsidRPr="008A2991">
        <w:rPr>
          <w:rFonts w:ascii="Times New Roman" w:hAnsi="Times New Roman" w:cs="Times New Roman"/>
          <w:sz w:val="20"/>
          <w:szCs w:val="20"/>
        </w:rPr>
        <w:t>demic, people prefer</w:t>
      </w:r>
      <w:r w:rsidR="00F8450D" w:rsidRPr="008A2991">
        <w:rPr>
          <w:rFonts w:ascii="Times New Roman" w:hAnsi="Times New Roman" w:cs="Times New Roman"/>
          <w:sz w:val="20"/>
          <w:szCs w:val="20"/>
        </w:rPr>
        <w:t>red</w:t>
      </w:r>
      <w:r w:rsidR="00886C23" w:rsidRPr="008A2991">
        <w:rPr>
          <w:rFonts w:ascii="Times New Roman" w:hAnsi="Times New Roman" w:cs="Times New Roman"/>
          <w:sz w:val="20"/>
          <w:szCs w:val="20"/>
        </w:rPr>
        <w:t xml:space="preserve"> cashless payment or electronic payment</w:t>
      </w:r>
      <w:r w:rsidR="00F8450D" w:rsidRPr="008A2991">
        <w:rPr>
          <w:rFonts w:ascii="Times New Roman" w:hAnsi="Times New Roman" w:cs="Times New Roman"/>
          <w:sz w:val="20"/>
          <w:szCs w:val="20"/>
        </w:rPr>
        <w:t xml:space="preserve"> because they </w:t>
      </w:r>
      <w:r w:rsidR="00886C23" w:rsidRPr="008A2991">
        <w:rPr>
          <w:rFonts w:ascii="Times New Roman" w:hAnsi="Times New Roman" w:cs="Times New Roman"/>
          <w:sz w:val="20"/>
          <w:szCs w:val="20"/>
        </w:rPr>
        <w:t>reduce</w:t>
      </w:r>
      <w:r w:rsidR="00F8450D" w:rsidRPr="008A2991">
        <w:rPr>
          <w:rFonts w:ascii="Times New Roman" w:hAnsi="Times New Roman" w:cs="Times New Roman"/>
          <w:sz w:val="20"/>
          <w:szCs w:val="20"/>
        </w:rPr>
        <w:t>d</w:t>
      </w:r>
      <w:r w:rsidR="00886C23" w:rsidRPr="008A2991">
        <w:rPr>
          <w:rFonts w:ascii="Times New Roman" w:hAnsi="Times New Roman" w:cs="Times New Roman"/>
          <w:sz w:val="20"/>
          <w:szCs w:val="20"/>
        </w:rPr>
        <w:t xml:space="preserve"> crowding problems and </w:t>
      </w:r>
      <w:r w:rsidRPr="008A2991">
        <w:rPr>
          <w:rFonts w:ascii="Times New Roman" w:hAnsi="Times New Roman" w:cs="Times New Roman"/>
          <w:sz w:val="20"/>
          <w:szCs w:val="20"/>
        </w:rPr>
        <w:t>lowered</w:t>
      </w:r>
      <w:r w:rsidR="00886C23" w:rsidRPr="008A2991">
        <w:rPr>
          <w:rFonts w:ascii="Times New Roman" w:hAnsi="Times New Roman" w:cs="Times New Roman"/>
          <w:sz w:val="20"/>
          <w:szCs w:val="20"/>
        </w:rPr>
        <w:t xml:space="preserve"> </w:t>
      </w:r>
      <w:r w:rsidR="00F8450D" w:rsidRPr="008A2991">
        <w:rPr>
          <w:rFonts w:ascii="Times New Roman" w:hAnsi="Times New Roman" w:cs="Times New Roman"/>
          <w:sz w:val="20"/>
          <w:szCs w:val="20"/>
        </w:rPr>
        <w:t>the</w:t>
      </w:r>
      <w:r w:rsidR="00886C23" w:rsidRPr="008A2991">
        <w:rPr>
          <w:rFonts w:ascii="Times New Roman" w:hAnsi="Times New Roman" w:cs="Times New Roman"/>
          <w:sz w:val="20"/>
          <w:szCs w:val="20"/>
        </w:rPr>
        <w:t xml:space="preserve"> chances of catching COVID-19. </w:t>
      </w:r>
      <w:r w:rsidR="00F8450D" w:rsidRPr="008A2991">
        <w:rPr>
          <w:rFonts w:ascii="Times New Roman" w:hAnsi="Times New Roman" w:cs="Times New Roman"/>
          <w:sz w:val="20"/>
          <w:szCs w:val="20"/>
        </w:rPr>
        <w:t>This can be another factor</w:t>
      </w:r>
      <w:r w:rsidR="00886C23" w:rsidRPr="008A2991">
        <w:rPr>
          <w:rFonts w:ascii="Times New Roman" w:hAnsi="Times New Roman" w:cs="Times New Roman"/>
          <w:sz w:val="20"/>
          <w:szCs w:val="20"/>
        </w:rPr>
        <w:t xml:space="preserve"> </w:t>
      </w:r>
      <w:r w:rsidR="00165981" w:rsidRPr="008A2991">
        <w:rPr>
          <w:rFonts w:ascii="Times New Roman" w:hAnsi="Times New Roman" w:cs="Times New Roman"/>
          <w:sz w:val="20"/>
          <w:szCs w:val="20"/>
        </w:rPr>
        <w:t>that can be used to promote</w:t>
      </w:r>
      <w:r w:rsidR="00886C23" w:rsidRPr="008A2991">
        <w:rPr>
          <w:rFonts w:ascii="Times New Roman" w:hAnsi="Times New Roman" w:cs="Times New Roman"/>
          <w:sz w:val="20"/>
          <w:szCs w:val="20"/>
        </w:rPr>
        <w:t xml:space="preserve"> </w:t>
      </w:r>
      <w:r w:rsidR="00DA3125" w:rsidRPr="008A2991">
        <w:rPr>
          <w:rFonts w:ascii="Times New Roman" w:hAnsi="Times New Roman" w:cs="Times New Roman"/>
          <w:sz w:val="20"/>
          <w:szCs w:val="20"/>
        </w:rPr>
        <w:t xml:space="preserve">a </w:t>
      </w:r>
      <w:r w:rsidR="00886C23" w:rsidRPr="008A2991">
        <w:rPr>
          <w:rFonts w:ascii="Times New Roman" w:hAnsi="Times New Roman" w:cs="Times New Roman"/>
          <w:sz w:val="20"/>
          <w:szCs w:val="20"/>
        </w:rPr>
        <w:t>digital financial business</w:t>
      </w:r>
      <w:r w:rsidR="000C7129" w:rsidRPr="008A2991">
        <w:rPr>
          <w:rFonts w:ascii="Times New Roman" w:hAnsi="Times New Roman" w:cs="Times New Roman"/>
          <w:sz w:val="20"/>
          <w:szCs w:val="20"/>
        </w:rPr>
        <w:t>.</w:t>
      </w:r>
    </w:p>
    <w:p w14:paraId="31F125C3" w14:textId="33855FA8"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Interest Rate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3</m:t>
            </m:r>
          </m:sub>
        </m:sSub>
      </m:oMath>
      <w:r w:rsidRPr="008A2991">
        <w:rPr>
          <w:rFonts w:ascii="Times New Roman" w:hAnsi="Times New Roman" w:cs="Times New Roman"/>
          <w:sz w:val="20"/>
          <w:szCs w:val="20"/>
        </w:rPr>
        <w:t>)</w:t>
      </w:r>
      <w:r w:rsidR="00737335" w:rsidRPr="008A2991">
        <w:rPr>
          <w:rFonts w:ascii="Times New Roman" w:hAnsi="Times New Roman" w:cs="Times New Roman" w:hint="eastAsia"/>
          <w:sz w:val="20"/>
          <w:szCs w:val="20"/>
        </w:rPr>
        <w:t>:</w:t>
      </w:r>
    </w:p>
    <w:p w14:paraId="0B427166" w14:textId="7FF7A329" w:rsidR="000C7129" w:rsidRPr="008A2991" w:rsidRDefault="00316F72"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As </w:t>
      </w:r>
      <w:r w:rsidR="000C7129" w:rsidRPr="008A2991">
        <w:rPr>
          <w:rFonts w:ascii="Times New Roman" w:hAnsi="Times New Roman" w:cs="Times New Roman"/>
          <w:sz w:val="20"/>
          <w:szCs w:val="20"/>
        </w:rPr>
        <w:t xml:space="preserve">Table 3 </w:t>
      </w:r>
      <w:r w:rsidR="00E200A0" w:rsidRPr="008A2991">
        <w:rPr>
          <w:rFonts w:ascii="Times New Roman" w:hAnsi="Times New Roman" w:cs="Times New Roman"/>
          <w:sz w:val="20"/>
          <w:szCs w:val="20"/>
        </w:rPr>
        <w:t xml:space="preserve">also </w:t>
      </w:r>
      <w:r w:rsidRPr="008A2991">
        <w:rPr>
          <w:rFonts w:ascii="Times New Roman" w:hAnsi="Times New Roman" w:cs="Times New Roman"/>
          <w:sz w:val="20"/>
          <w:szCs w:val="20"/>
        </w:rPr>
        <w:t xml:space="preserve">shows, </w:t>
      </w:r>
      <w:r w:rsidR="000C7129" w:rsidRPr="008A2991">
        <w:rPr>
          <w:rFonts w:ascii="Times New Roman" w:hAnsi="Times New Roman" w:cs="Times New Roman"/>
          <w:sz w:val="20"/>
          <w:szCs w:val="20"/>
        </w:rPr>
        <w:t>interest rate</w:t>
      </w:r>
      <w:r w:rsidR="00E200A0" w:rsidRPr="008A2991">
        <w:rPr>
          <w:rFonts w:ascii="Times New Roman" w:hAnsi="Times New Roman" w:cs="Times New Roman"/>
          <w:sz w:val="20"/>
          <w:szCs w:val="20"/>
        </w:rPr>
        <w:t>s</w:t>
      </w:r>
      <w:r w:rsidR="000C7129"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have a negligible effect </w:t>
      </w:r>
      <w:r w:rsidR="000C7129" w:rsidRPr="008A2991">
        <w:rPr>
          <w:rFonts w:ascii="Times New Roman" w:hAnsi="Times New Roman" w:cs="Times New Roman"/>
          <w:sz w:val="20"/>
          <w:szCs w:val="20"/>
        </w:rPr>
        <w:t>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3</m:t>
            </m:r>
          </m:sub>
        </m:sSub>
      </m:oMath>
      <w:r w:rsidR="000C7129" w:rsidRPr="008A2991">
        <w:rPr>
          <w:rFonts w:ascii="Times New Roman" w:hAnsi="Times New Roman" w:cs="Times New Roman"/>
          <w:sz w:val="20"/>
          <w:szCs w:val="20"/>
        </w:rPr>
        <w:t>= 0.</w:t>
      </w:r>
      <w:r w:rsidR="001B458F" w:rsidRPr="008A2991">
        <w:rPr>
          <w:rFonts w:ascii="Times New Roman" w:hAnsi="Times New Roman" w:cs="Times New Roman"/>
          <w:sz w:val="20"/>
          <w:szCs w:val="20"/>
        </w:rPr>
        <w:t>166</w:t>
      </w:r>
      <w:r w:rsidR="000C7129"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000C7129" w:rsidRPr="008A2991">
        <w:rPr>
          <w:rFonts w:ascii="Times New Roman" w:hAnsi="Times New Roman" w:cs="Times New Roman"/>
          <w:sz w:val="20"/>
          <w:szCs w:val="20"/>
        </w:rPr>
        <w:t xml:space="preserve">). </w:t>
      </w:r>
      <w:r w:rsidR="00886C23" w:rsidRPr="008A2991">
        <w:rPr>
          <w:rFonts w:ascii="Times New Roman" w:hAnsi="Times New Roman" w:cs="Times New Roman"/>
          <w:sz w:val="20"/>
          <w:szCs w:val="20"/>
        </w:rPr>
        <w:t>Thus, interest rate</w:t>
      </w:r>
      <w:r w:rsidR="00E200A0"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may be not an important factor that influences the development of digital banks in Taiwan. At present, government units c</w:t>
      </w:r>
      <w:r w:rsidR="00E200A0" w:rsidRPr="008A2991">
        <w:rPr>
          <w:rFonts w:ascii="Times New Roman" w:hAnsi="Times New Roman" w:cs="Times New Roman"/>
          <w:sz w:val="20"/>
          <w:szCs w:val="20"/>
        </w:rPr>
        <w:t>ould</w:t>
      </w:r>
      <w:r w:rsidR="00886C23" w:rsidRPr="008A2991">
        <w:rPr>
          <w:rFonts w:ascii="Times New Roman" w:hAnsi="Times New Roman" w:cs="Times New Roman"/>
          <w:sz w:val="20"/>
          <w:szCs w:val="20"/>
        </w:rPr>
        <w:t xml:space="preserve"> </w:t>
      </w:r>
      <w:r w:rsidRPr="008A2991">
        <w:rPr>
          <w:rFonts w:ascii="Times New Roman" w:hAnsi="Times New Roman" w:cs="Times New Roman"/>
          <w:sz w:val="20"/>
          <w:szCs w:val="20"/>
        </w:rPr>
        <w:t xml:space="preserve">address </w:t>
      </w:r>
      <w:r w:rsidR="00886C23" w:rsidRPr="008A2991">
        <w:rPr>
          <w:rFonts w:ascii="Times New Roman" w:hAnsi="Times New Roman" w:cs="Times New Roman"/>
          <w:sz w:val="20"/>
          <w:szCs w:val="20"/>
        </w:rPr>
        <w:t xml:space="preserve">the business crisis and stimulate economic growth by reducing loan interest rates, </w:t>
      </w:r>
      <w:r w:rsidR="00E200A0" w:rsidRPr="008A2991">
        <w:rPr>
          <w:rFonts w:ascii="Times New Roman" w:hAnsi="Times New Roman" w:cs="Times New Roman"/>
          <w:sz w:val="20"/>
          <w:szCs w:val="20"/>
        </w:rPr>
        <w:t xml:space="preserve">which would </w:t>
      </w:r>
      <w:r w:rsidR="00886C23" w:rsidRPr="008A2991">
        <w:rPr>
          <w:rFonts w:ascii="Times New Roman" w:hAnsi="Times New Roman" w:cs="Times New Roman"/>
          <w:sz w:val="20"/>
          <w:szCs w:val="20"/>
        </w:rPr>
        <w:t>alleviat</w:t>
      </w:r>
      <w:r w:rsidR="00E200A0" w:rsidRPr="008A2991">
        <w:rPr>
          <w:rFonts w:ascii="Times New Roman" w:hAnsi="Times New Roman" w:cs="Times New Roman"/>
          <w:sz w:val="20"/>
          <w:szCs w:val="20"/>
        </w:rPr>
        <w:t>e</w:t>
      </w:r>
      <w:r w:rsidR="00886C23" w:rsidRPr="008A2991">
        <w:rPr>
          <w:rFonts w:ascii="Times New Roman" w:hAnsi="Times New Roman" w:cs="Times New Roman"/>
          <w:sz w:val="20"/>
          <w:szCs w:val="20"/>
        </w:rPr>
        <w:t xml:space="preserve"> financial pressure. </w:t>
      </w:r>
      <w:r w:rsidR="007576AA" w:rsidRPr="008A2991">
        <w:rPr>
          <w:rFonts w:ascii="Times New Roman" w:hAnsi="Times New Roman" w:cs="Times New Roman"/>
          <w:sz w:val="20"/>
          <w:szCs w:val="20"/>
        </w:rPr>
        <w:t>In t</w:t>
      </w:r>
      <w:r w:rsidR="00886C23" w:rsidRPr="008A2991">
        <w:rPr>
          <w:rFonts w:ascii="Times New Roman" w:hAnsi="Times New Roman" w:cs="Times New Roman"/>
          <w:sz w:val="20"/>
          <w:szCs w:val="20"/>
        </w:rPr>
        <w:t>oday's society</w:t>
      </w:r>
      <w:r w:rsidR="007576AA"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w:t>
      </w:r>
      <w:r w:rsidR="007576AA" w:rsidRPr="008A2991">
        <w:rPr>
          <w:rFonts w:ascii="Times New Roman" w:hAnsi="Times New Roman" w:cs="Times New Roman"/>
          <w:sz w:val="20"/>
          <w:szCs w:val="20"/>
        </w:rPr>
        <w:t>we have</w:t>
      </w:r>
      <w:r w:rsidR="00886C23" w:rsidRPr="008A2991">
        <w:rPr>
          <w:rFonts w:ascii="Times New Roman" w:hAnsi="Times New Roman" w:cs="Times New Roman"/>
          <w:sz w:val="20"/>
          <w:szCs w:val="20"/>
        </w:rPr>
        <w:t xml:space="preserve"> entered an era of low-interest rates; there is no significant difference in interest rates between digital banks and traditional banks. Therefore, people may not open digital accounts </w:t>
      </w:r>
      <w:r w:rsidRPr="008A2991">
        <w:rPr>
          <w:rFonts w:ascii="Times New Roman" w:hAnsi="Times New Roman" w:cs="Times New Roman"/>
          <w:sz w:val="20"/>
          <w:szCs w:val="20"/>
        </w:rPr>
        <w:t xml:space="preserve">due to </w:t>
      </w:r>
      <w:r w:rsidR="00886C23" w:rsidRPr="008A2991">
        <w:rPr>
          <w:rFonts w:ascii="Times New Roman" w:hAnsi="Times New Roman" w:cs="Times New Roman"/>
          <w:sz w:val="20"/>
          <w:szCs w:val="20"/>
        </w:rPr>
        <w:t xml:space="preserve">preferential interest rates, </w:t>
      </w:r>
      <w:r w:rsidR="00126E63" w:rsidRPr="008A2991">
        <w:rPr>
          <w:rFonts w:ascii="Times New Roman" w:hAnsi="Times New Roman" w:cs="Times New Roman"/>
          <w:sz w:val="20"/>
          <w:szCs w:val="20"/>
        </w:rPr>
        <w:t xml:space="preserve">which </w:t>
      </w:r>
      <w:r w:rsidR="00886C23" w:rsidRPr="008A2991">
        <w:rPr>
          <w:rFonts w:ascii="Times New Roman" w:hAnsi="Times New Roman" w:cs="Times New Roman"/>
          <w:sz w:val="20"/>
          <w:szCs w:val="20"/>
        </w:rPr>
        <w:t>suggest</w:t>
      </w:r>
      <w:r w:rsidR="00126E63"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that interest rates do not affect people's willingness to open digital accounts</w:t>
      </w:r>
      <w:r w:rsidR="00CA2C23" w:rsidRPr="008A2991">
        <w:rPr>
          <w:rFonts w:ascii="Times New Roman" w:hAnsi="Times New Roman" w:cs="Times New Roman"/>
          <w:sz w:val="20"/>
          <w:szCs w:val="20"/>
        </w:rPr>
        <w:t>.</w:t>
      </w:r>
    </w:p>
    <w:p w14:paraId="0F051B71" w14:textId="436156AD"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Number of Free Transfers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4</m:t>
            </m:r>
          </m:sub>
        </m:sSub>
      </m:oMath>
      <w:r w:rsidRPr="008A2991">
        <w:rPr>
          <w:rFonts w:ascii="Times New Roman" w:hAnsi="Times New Roman" w:cs="Times New Roman"/>
          <w:sz w:val="20"/>
          <w:szCs w:val="20"/>
        </w:rPr>
        <w:t xml:space="preserve">): </w:t>
      </w:r>
    </w:p>
    <w:p w14:paraId="51FA792B" w14:textId="2CDD8A09" w:rsidR="000C7129" w:rsidRPr="008A2991" w:rsidRDefault="00316F72"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As t</w:t>
      </w:r>
      <w:r w:rsidR="007576AA" w:rsidRPr="008A2991">
        <w:rPr>
          <w:rFonts w:ascii="Times New Roman" w:hAnsi="Times New Roman" w:cs="Times New Roman"/>
          <w:sz w:val="20"/>
          <w:szCs w:val="20"/>
        </w:rPr>
        <w:t>he e</w:t>
      </w:r>
      <w:r w:rsidR="000C7129" w:rsidRPr="008A2991">
        <w:rPr>
          <w:rFonts w:ascii="Times New Roman" w:hAnsi="Times New Roman" w:cs="Times New Roman"/>
          <w:sz w:val="20"/>
          <w:szCs w:val="20"/>
        </w:rPr>
        <w:t>mpirical results in Table 3</w:t>
      </w:r>
      <w:r w:rsidR="007576AA" w:rsidRPr="008A2991">
        <w:rPr>
          <w:rFonts w:ascii="Times New Roman" w:hAnsi="Times New Roman" w:cs="Times New Roman"/>
          <w:sz w:val="20"/>
          <w:szCs w:val="20"/>
        </w:rPr>
        <w:t xml:space="preserve"> </w:t>
      </w:r>
      <w:r w:rsidR="000C7129" w:rsidRPr="008A2991">
        <w:rPr>
          <w:rFonts w:ascii="Times New Roman" w:hAnsi="Times New Roman" w:cs="Times New Roman"/>
          <w:sz w:val="20"/>
          <w:szCs w:val="20"/>
        </w:rPr>
        <w:t>show</w:t>
      </w:r>
      <w:r w:rsidRPr="008A2991">
        <w:rPr>
          <w:rFonts w:ascii="Times New Roman" w:hAnsi="Times New Roman" w:cs="Times New Roman"/>
          <w:sz w:val="20"/>
          <w:szCs w:val="20"/>
        </w:rPr>
        <w:t>,</w:t>
      </w:r>
      <w:r w:rsidR="000C7129" w:rsidRPr="008A2991">
        <w:rPr>
          <w:rFonts w:ascii="Times New Roman" w:hAnsi="Times New Roman" w:cs="Times New Roman"/>
          <w:sz w:val="20"/>
          <w:szCs w:val="20"/>
        </w:rPr>
        <w:t xml:space="preserve"> the effects of this factor 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4</m:t>
            </m:r>
          </m:sub>
        </m:sSub>
      </m:oMath>
      <w:r w:rsidR="000C7129" w:rsidRPr="008A2991">
        <w:rPr>
          <w:rFonts w:ascii="Times New Roman" w:hAnsi="Times New Roman" w:cs="Times New Roman"/>
          <w:sz w:val="20"/>
          <w:szCs w:val="20"/>
        </w:rPr>
        <w:t>= 0.</w:t>
      </w:r>
      <w:r w:rsidR="001B458F" w:rsidRPr="008A2991">
        <w:rPr>
          <w:rFonts w:ascii="Times New Roman" w:hAnsi="Times New Roman" w:cs="Times New Roman"/>
          <w:sz w:val="20"/>
          <w:szCs w:val="20"/>
        </w:rPr>
        <w:t>714</w:t>
      </w:r>
      <w:r w:rsidR="000C7129"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000C7129" w:rsidRPr="008A2991">
        <w:rPr>
          <w:rFonts w:ascii="Times New Roman" w:hAnsi="Times New Roman" w:cs="Times New Roman"/>
          <w:sz w:val="20"/>
          <w:szCs w:val="20"/>
        </w:rPr>
        <w:t xml:space="preserve">) </w:t>
      </w:r>
      <w:r w:rsidR="00860985" w:rsidRPr="008A2991">
        <w:rPr>
          <w:rFonts w:ascii="Times New Roman" w:hAnsi="Times New Roman" w:cs="Times New Roman"/>
          <w:sz w:val="20"/>
          <w:szCs w:val="20"/>
        </w:rPr>
        <w:t>have been</w:t>
      </w:r>
      <w:r w:rsidR="00886C23" w:rsidRPr="008A2991">
        <w:rPr>
          <w:rFonts w:ascii="Times New Roman" w:hAnsi="Times New Roman" w:cs="Times New Roman"/>
          <w:sz w:val="20"/>
          <w:szCs w:val="20"/>
        </w:rPr>
        <w:t xml:space="preserve"> very strong. In the age of non-cash</w:t>
      </w:r>
      <w:r w:rsidR="00860985" w:rsidRPr="008A2991">
        <w:rPr>
          <w:rFonts w:ascii="Times New Roman" w:hAnsi="Times New Roman" w:cs="Times New Roman"/>
          <w:sz w:val="20"/>
          <w:szCs w:val="20"/>
        </w:rPr>
        <w:t xml:space="preserve"> payment methods</w:t>
      </w:r>
      <w:r w:rsidR="00886C23" w:rsidRPr="008A2991">
        <w:rPr>
          <w:rFonts w:ascii="Times New Roman" w:hAnsi="Times New Roman" w:cs="Times New Roman"/>
          <w:sz w:val="20"/>
          <w:szCs w:val="20"/>
        </w:rPr>
        <w:t xml:space="preserve">, people </w:t>
      </w:r>
      <w:r w:rsidR="00860985" w:rsidRPr="008A2991">
        <w:rPr>
          <w:rFonts w:ascii="Times New Roman" w:hAnsi="Times New Roman" w:cs="Times New Roman"/>
          <w:sz w:val="20"/>
          <w:szCs w:val="20"/>
        </w:rPr>
        <w:t>tend to</w:t>
      </w:r>
      <w:r w:rsidR="00886C23" w:rsidRPr="008A2991">
        <w:rPr>
          <w:rFonts w:ascii="Times New Roman" w:hAnsi="Times New Roman" w:cs="Times New Roman"/>
          <w:sz w:val="20"/>
          <w:szCs w:val="20"/>
        </w:rPr>
        <w:t xml:space="preserve"> use ATMs to </w:t>
      </w:r>
      <w:r w:rsidRPr="008A2991">
        <w:rPr>
          <w:rFonts w:ascii="Times New Roman" w:hAnsi="Times New Roman" w:cs="Times New Roman"/>
          <w:sz w:val="20"/>
          <w:szCs w:val="20"/>
        </w:rPr>
        <w:t xml:space="preserve">obtain </w:t>
      </w:r>
      <w:r w:rsidR="00886C23" w:rsidRPr="008A2991">
        <w:rPr>
          <w:rFonts w:ascii="Times New Roman" w:hAnsi="Times New Roman" w:cs="Times New Roman"/>
          <w:sz w:val="20"/>
          <w:szCs w:val="20"/>
        </w:rPr>
        <w:t>money for shopping or paying small amounts. However, there is a fee for general bank account transfers</w:t>
      </w:r>
      <w:r w:rsidR="00835079"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w:t>
      </w:r>
      <w:r w:rsidR="00835079" w:rsidRPr="008A2991">
        <w:rPr>
          <w:rFonts w:ascii="Times New Roman" w:hAnsi="Times New Roman" w:cs="Times New Roman"/>
          <w:sz w:val="20"/>
          <w:szCs w:val="20"/>
        </w:rPr>
        <w:t>With the exception of</w:t>
      </w:r>
      <w:r w:rsidR="00886C23" w:rsidRPr="008A2991">
        <w:rPr>
          <w:rFonts w:ascii="Times New Roman" w:hAnsi="Times New Roman" w:cs="Times New Roman"/>
          <w:sz w:val="20"/>
          <w:szCs w:val="20"/>
        </w:rPr>
        <w:t xml:space="preserve"> same bank</w:t>
      </w:r>
      <w:r w:rsidR="00835079" w:rsidRPr="008A2991">
        <w:rPr>
          <w:rFonts w:ascii="Times New Roman" w:hAnsi="Times New Roman" w:cs="Times New Roman"/>
          <w:sz w:val="20"/>
          <w:szCs w:val="20"/>
        </w:rPr>
        <w:t xml:space="preserve"> transfers,</w:t>
      </w:r>
      <w:r w:rsidR="00886C23" w:rsidRPr="008A2991">
        <w:rPr>
          <w:rFonts w:ascii="Times New Roman" w:hAnsi="Times New Roman" w:cs="Times New Roman"/>
          <w:sz w:val="20"/>
          <w:szCs w:val="20"/>
        </w:rPr>
        <w:t xml:space="preserve"> the fee is 15 NTD. </w:t>
      </w:r>
      <w:r w:rsidRPr="008A2991">
        <w:rPr>
          <w:rFonts w:ascii="Times New Roman" w:hAnsi="Times New Roman" w:cs="Times New Roman"/>
          <w:sz w:val="20"/>
          <w:szCs w:val="20"/>
        </w:rPr>
        <w:t xml:space="preserve">However, </w:t>
      </w:r>
      <w:r w:rsidR="00886C23" w:rsidRPr="008A2991">
        <w:rPr>
          <w:rFonts w:ascii="Times New Roman" w:hAnsi="Times New Roman" w:cs="Times New Roman"/>
          <w:sz w:val="20"/>
          <w:szCs w:val="20"/>
        </w:rPr>
        <w:t xml:space="preserve">digital accounts </w:t>
      </w:r>
      <w:r w:rsidR="00835079" w:rsidRPr="008A2991">
        <w:rPr>
          <w:rFonts w:ascii="Times New Roman" w:hAnsi="Times New Roman" w:cs="Times New Roman"/>
          <w:sz w:val="20"/>
          <w:szCs w:val="20"/>
        </w:rPr>
        <w:t>are</w:t>
      </w:r>
      <w:r w:rsidR="00886C23" w:rsidRPr="008A2991">
        <w:rPr>
          <w:rFonts w:ascii="Times New Roman" w:hAnsi="Times New Roman" w:cs="Times New Roman"/>
          <w:sz w:val="20"/>
          <w:szCs w:val="20"/>
        </w:rPr>
        <w:t xml:space="preserve"> free, </w:t>
      </w:r>
      <w:r w:rsidR="00835079" w:rsidRPr="008A2991">
        <w:rPr>
          <w:rFonts w:ascii="Times New Roman" w:hAnsi="Times New Roman" w:cs="Times New Roman"/>
          <w:sz w:val="20"/>
          <w:szCs w:val="20"/>
        </w:rPr>
        <w:t>and</w:t>
      </w:r>
      <w:r w:rsidR="00886C23" w:rsidRPr="008A2991">
        <w:rPr>
          <w:rFonts w:ascii="Times New Roman" w:hAnsi="Times New Roman" w:cs="Times New Roman"/>
          <w:sz w:val="20"/>
          <w:szCs w:val="20"/>
        </w:rPr>
        <w:t xml:space="preserve"> transfers between different bank accounts</w:t>
      </w:r>
      <w:r w:rsidR="00835079" w:rsidRPr="008A2991">
        <w:rPr>
          <w:rFonts w:ascii="Times New Roman" w:hAnsi="Times New Roman" w:cs="Times New Roman"/>
          <w:sz w:val="20"/>
          <w:szCs w:val="20"/>
        </w:rPr>
        <w:t xml:space="preserve"> are included</w:t>
      </w:r>
      <w:r w:rsidR="00886C23" w:rsidRPr="008A2991">
        <w:rPr>
          <w:rFonts w:ascii="Times New Roman" w:hAnsi="Times New Roman" w:cs="Times New Roman"/>
          <w:sz w:val="20"/>
          <w:szCs w:val="20"/>
        </w:rPr>
        <w:t xml:space="preserve">, </w:t>
      </w:r>
      <w:r w:rsidR="00835079" w:rsidRPr="008A2991">
        <w:rPr>
          <w:rFonts w:ascii="Times New Roman" w:hAnsi="Times New Roman" w:cs="Times New Roman"/>
          <w:sz w:val="20"/>
          <w:szCs w:val="20"/>
        </w:rPr>
        <w:t>which</w:t>
      </w:r>
      <w:r w:rsidR="00886C23" w:rsidRPr="008A2991">
        <w:rPr>
          <w:rFonts w:ascii="Times New Roman" w:hAnsi="Times New Roman" w:cs="Times New Roman"/>
          <w:sz w:val="20"/>
          <w:szCs w:val="20"/>
        </w:rPr>
        <w:t xml:space="preserve"> will attract people to open digital accounts</w:t>
      </w:r>
      <w:r w:rsidR="00234A02" w:rsidRPr="008A2991">
        <w:rPr>
          <w:rFonts w:ascii="Times New Roman" w:hAnsi="Times New Roman" w:cs="Times New Roman"/>
          <w:sz w:val="20"/>
          <w:szCs w:val="20"/>
        </w:rPr>
        <w:t>.</w:t>
      </w:r>
    </w:p>
    <w:p w14:paraId="11074C87" w14:textId="4A053C9B"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 xml:space="preserve">Number of Free Withdrawals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5</m:t>
            </m:r>
          </m:sub>
        </m:sSub>
      </m:oMath>
      <w:r w:rsidRPr="008A2991">
        <w:rPr>
          <w:rFonts w:ascii="Times New Roman" w:hAnsi="Times New Roman" w:cs="Times New Roman"/>
          <w:sz w:val="20"/>
          <w:szCs w:val="20"/>
        </w:rPr>
        <w:t xml:space="preserve">): </w:t>
      </w:r>
    </w:p>
    <w:p w14:paraId="4F6FDFEB" w14:textId="7FBB324B" w:rsidR="000C7129" w:rsidRPr="008A2991" w:rsidRDefault="00C32DA4"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The r</w:t>
      </w:r>
      <w:r w:rsidR="000C7129" w:rsidRPr="008A2991">
        <w:rPr>
          <w:rFonts w:ascii="Times New Roman" w:hAnsi="Times New Roman" w:cs="Times New Roman"/>
          <w:sz w:val="20"/>
          <w:szCs w:val="20"/>
        </w:rPr>
        <w:t xml:space="preserve">esults </w:t>
      </w:r>
      <w:r w:rsidRPr="008A2991">
        <w:rPr>
          <w:rFonts w:ascii="Times New Roman" w:hAnsi="Times New Roman" w:cs="Times New Roman"/>
          <w:sz w:val="20"/>
          <w:szCs w:val="20"/>
        </w:rPr>
        <w:t>also</w:t>
      </w:r>
      <w:r w:rsidR="000C7129" w:rsidRPr="008A2991">
        <w:rPr>
          <w:rFonts w:ascii="Times New Roman" w:hAnsi="Times New Roman" w:cs="Times New Roman"/>
          <w:sz w:val="20"/>
          <w:szCs w:val="20"/>
        </w:rPr>
        <w:t xml:space="preserve"> reveal</w:t>
      </w:r>
      <w:r w:rsidR="00316F72" w:rsidRPr="008A2991">
        <w:rPr>
          <w:rFonts w:ascii="Times New Roman" w:hAnsi="Times New Roman" w:cs="Times New Roman"/>
          <w:sz w:val="20"/>
          <w:szCs w:val="20"/>
        </w:rPr>
        <w:t>ed</w:t>
      </w:r>
      <w:r w:rsidR="000C7129" w:rsidRPr="008A2991">
        <w:rPr>
          <w:rFonts w:ascii="Times New Roman" w:hAnsi="Times New Roman" w:cs="Times New Roman"/>
          <w:sz w:val="20"/>
          <w:szCs w:val="20"/>
        </w:rPr>
        <w:t xml:space="preserve"> </w:t>
      </w:r>
      <w:r w:rsidRPr="008A2991">
        <w:rPr>
          <w:rFonts w:ascii="Times New Roman" w:hAnsi="Times New Roman" w:cs="Times New Roman"/>
          <w:sz w:val="20"/>
          <w:szCs w:val="20"/>
        </w:rPr>
        <w:t>that</w:t>
      </w:r>
      <w:r w:rsidR="00860450" w:rsidRPr="008A2991">
        <w:rPr>
          <w:rFonts w:ascii="Times New Roman" w:hAnsi="Times New Roman" w:cs="Times New Roman"/>
          <w:sz w:val="20"/>
          <w:szCs w:val="20"/>
        </w:rPr>
        <w:t xml:space="preserve"> </w:t>
      </w:r>
      <w:r w:rsidR="000C7129" w:rsidRPr="008A2991">
        <w:rPr>
          <w:rFonts w:ascii="Times New Roman" w:hAnsi="Times New Roman" w:cs="Times New Roman"/>
          <w:sz w:val="20"/>
          <w:szCs w:val="20"/>
        </w:rPr>
        <w:t xml:space="preserve">the number of free withdrawals </w:t>
      </w:r>
      <w:r w:rsidRPr="008A2991">
        <w:rPr>
          <w:rFonts w:ascii="Times New Roman" w:hAnsi="Times New Roman" w:cs="Times New Roman"/>
          <w:sz w:val="20"/>
          <w:szCs w:val="20"/>
        </w:rPr>
        <w:t xml:space="preserve">had a moderate effect </w:t>
      </w:r>
      <w:r w:rsidR="000C7129" w:rsidRPr="008A2991">
        <w:rPr>
          <w:rFonts w:ascii="Times New Roman" w:hAnsi="Times New Roman" w:cs="Times New Roman"/>
          <w:sz w:val="20"/>
          <w:szCs w:val="20"/>
        </w:rPr>
        <w:t>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5</m:t>
            </m:r>
          </m:sub>
        </m:sSub>
      </m:oMath>
      <w:r w:rsidR="000C7129" w:rsidRPr="008A2991">
        <w:rPr>
          <w:rFonts w:ascii="Times New Roman" w:hAnsi="Times New Roman" w:cs="Times New Roman"/>
          <w:sz w:val="20"/>
          <w:szCs w:val="20"/>
        </w:rPr>
        <w:t>= 0.</w:t>
      </w:r>
      <w:r w:rsidR="001B458F" w:rsidRPr="008A2991">
        <w:rPr>
          <w:rFonts w:ascii="Times New Roman" w:hAnsi="Times New Roman" w:cs="Times New Roman"/>
          <w:sz w:val="20"/>
          <w:szCs w:val="20"/>
        </w:rPr>
        <w:t>617</w:t>
      </w:r>
      <w:r w:rsidR="000C7129"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000C7129" w:rsidRPr="008A2991">
        <w:rPr>
          <w:rFonts w:ascii="Times New Roman" w:hAnsi="Times New Roman" w:cs="Times New Roman"/>
          <w:sz w:val="20"/>
          <w:szCs w:val="20"/>
        </w:rPr>
        <w:t xml:space="preserve">). </w:t>
      </w:r>
      <w:r w:rsidRPr="008A2991">
        <w:rPr>
          <w:rFonts w:ascii="Times New Roman" w:hAnsi="Times New Roman" w:cs="Times New Roman"/>
          <w:sz w:val="20"/>
          <w:szCs w:val="20"/>
        </w:rPr>
        <w:t>A</w:t>
      </w:r>
      <w:r w:rsidR="00886C23" w:rsidRPr="008A2991">
        <w:rPr>
          <w:rFonts w:ascii="Times New Roman" w:hAnsi="Times New Roman" w:cs="Times New Roman"/>
          <w:sz w:val="20"/>
          <w:szCs w:val="20"/>
        </w:rPr>
        <w:t xml:space="preserve"> digital account is the same as </w:t>
      </w:r>
      <w:r w:rsidRPr="008A2991">
        <w:rPr>
          <w:rFonts w:ascii="Times New Roman" w:hAnsi="Times New Roman" w:cs="Times New Roman"/>
          <w:sz w:val="20"/>
          <w:szCs w:val="20"/>
        </w:rPr>
        <w:t>a</w:t>
      </w:r>
      <w:r w:rsidR="00886C23" w:rsidRPr="008A2991">
        <w:rPr>
          <w:rFonts w:ascii="Times New Roman" w:hAnsi="Times New Roman" w:cs="Times New Roman"/>
          <w:sz w:val="20"/>
          <w:szCs w:val="20"/>
        </w:rPr>
        <w:t xml:space="preserve"> physical account; hence, </w:t>
      </w:r>
      <w:r w:rsidR="00886C23" w:rsidRPr="008A2991">
        <w:rPr>
          <w:rFonts w:ascii="Times New Roman" w:hAnsi="Times New Roman" w:cs="Times New Roman"/>
          <w:sz w:val="20"/>
          <w:szCs w:val="20"/>
        </w:rPr>
        <w:lastRenderedPageBreak/>
        <w:t xml:space="preserve">when people need cash, they can use </w:t>
      </w:r>
      <w:r w:rsidR="00316F72" w:rsidRPr="008A2991">
        <w:rPr>
          <w:rFonts w:ascii="Times New Roman" w:hAnsi="Times New Roman" w:cs="Times New Roman"/>
          <w:sz w:val="20"/>
          <w:szCs w:val="20"/>
        </w:rPr>
        <w:t xml:space="preserve">an </w:t>
      </w:r>
      <w:r w:rsidR="00886C23" w:rsidRPr="008A2991">
        <w:rPr>
          <w:rFonts w:ascii="Times New Roman" w:hAnsi="Times New Roman" w:cs="Times New Roman"/>
          <w:sz w:val="20"/>
          <w:szCs w:val="20"/>
        </w:rPr>
        <w:t>ATM to withdraw money. However, physical accounts require processing fees, wh</w:t>
      </w:r>
      <w:r w:rsidR="00316F72" w:rsidRPr="008A2991">
        <w:rPr>
          <w:rFonts w:ascii="Times New Roman" w:hAnsi="Times New Roman" w:cs="Times New Roman"/>
          <w:sz w:val="20"/>
          <w:szCs w:val="20"/>
        </w:rPr>
        <w:t xml:space="preserve">ile </w:t>
      </w:r>
      <w:r w:rsidR="00886C23" w:rsidRPr="008A2991">
        <w:rPr>
          <w:rFonts w:ascii="Times New Roman" w:hAnsi="Times New Roman" w:cs="Times New Roman"/>
          <w:sz w:val="20"/>
          <w:szCs w:val="20"/>
        </w:rPr>
        <w:t xml:space="preserve">digital accounts do not. </w:t>
      </w:r>
      <w:r w:rsidRPr="008A2991">
        <w:rPr>
          <w:rFonts w:ascii="Times New Roman" w:hAnsi="Times New Roman" w:cs="Times New Roman"/>
          <w:sz w:val="20"/>
          <w:szCs w:val="20"/>
        </w:rPr>
        <w:t>Although</w:t>
      </w:r>
      <w:r w:rsidR="00886C23" w:rsidRPr="008A2991">
        <w:rPr>
          <w:rFonts w:ascii="Times New Roman" w:hAnsi="Times New Roman" w:cs="Times New Roman"/>
          <w:sz w:val="20"/>
          <w:szCs w:val="20"/>
        </w:rPr>
        <w:t xml:space="preserve"> there is a fee for general bank account transfers (</w:t>
      </w:r>
      <w:r w:rsidRPr="008A2991">
        <w:rPr>
          <w:rFonts w:ascii="Times New Roman" w:hAnsi="Times New Roman" w:cs="Times New Roman"/>
          <w:sz w:val="20"/>
          <w:szCs w:val="20"/>
        </w:rPr>
        <w:t>usually</w:t>
      </w:r>
      <w:r w:rsidR="00886C23" w:rsidRPr="008A2991">
        <w:rPr>
          <w:rFonts w:ascii="Times New Roman" w:hAnsi="Times New Roman" w:cs="Times New Roman"/>
          <w:sz w:val="20"/>
          <w:szCs w:val="20"/>
        </w:rPr>
        <w:t xml:space="preserve"> 5 NTD in Taiwan</w:t>
      </w:r>
      <w:r w:rsidRPr="008A2991">
        <w:rPr>
          <w:rFonts w:ascii="Times New Roman" w:hAnsi="Times New Roman" w:cs="Times New Roman"/>
          <w:sz w:val="20"/>
          <w:szCs w:val="20"/>
        </w:rPr>
        <w:t>, unless transferring within the same bank</w:t>
      </w:r>
      <w:r w:rsidR="00886C23" w:rsidRPr="008A2991">
        <w:rPr>
          <w:rFonts w:ascii="Times New Roman" w:hAnsi="Times New Roman" w:cs="Times New Roman"/>
          <w:sz w:val="20"/>
          <w:szCs w:val="20"/>
        </w:rPr>
        <w:t>)</w:t>
      </w:r>
      <w:r w:rsidR="00316F72" w:rsidRPr="008A2991">
        <w:rPr>
          <w:rFonts w:ascii="Times New Roman" w:hAnsi="Times New Roman" w:cs="Times New Roman"/>
          <w:sz w:val="20"/>
          <w:szCs w:val="20"/>
        </w:rPr>
        <w:t>, s</w:t>
      </w:r>
      <w:r w:rsidR="00264627" w:rsidRPr="008A2991">
        <w:rPr>
          <w:rFonts w:ascii="Times New Roman" w:hAnsi="Times New Roman" w:cs="Times New Roman"/>
          <w:sz w:val="20"/>
          <w:szCs w:val="20"/>
        </w:rPr>
        <w:t>ince it is free to</w:t>
      </w:r>
      <w:r w:rsidR="00886C23" w:rsidRPr="008A2991">
        <w:rPr>
          <w:rFonts w:ascii="Times New Roman" w:hAnsi="Times New Roman" w:cs="Times New Roman"/>
          <w:sz w:val="20"/>
          <w:szCs w:val="20"/>
        </w:rPr>
        <w:t xml:space="preserve"> use a digital account</w:t>
      </w:r>
      <w:r w:rsidR="00264627"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w:t>
      </w:r>
      <w:r w:rsidR="00264627" w:rsidRPr="008A2991">
        <w:rPr>
          <w:rFonts w:ascii="Times New Roman" w:hAnsi="Times New Roman" w:cs="Times New Roman"/>
          <w:sz w:val="20"/>
          <w:szCs w:val="20"/>
        </w:rPr>
        <w:t>many</w:t>
      </w:r>
      <w:r w:rsidR="00886C23" w:rsidRPr="008A2991">
        <w:rPr>
          <w:rFonts w:ascii="Times New Roman" w:hAnsi="Times New Roman" w:cs="Times New Roman"/>
          <w:sz w:val="20"/>
          <w:szCs w:val="20"/>
        </w:rPr>
        <w:t xml:space="preserve"> people </w:t>
      </w:r>
      <w:r w:rsidR="00264627" w:rsidRPr="008A2991">
        <w:rPr>
          <w:rFonts w:ascii="Times New Roman" w:hAnsi="Times New Roman" w:cs="Times New Roman"/>
          <w:sz w:val="20"/>
          <w:szCs w:val="20"/>
        </w:rPr>
        <w:t xml:space="preserve">have been </w:t>
      </w:r>
      <w:r w:rsidR="00316F72" w:rsidRPr="008A2991">
        <w:rPr>
          <w:rFonts w:ascii="Times New Roman" w:hAnsi="Times New Roman" w:cs="Times New Roman"/>
          <w:sz w:val="20"/>
          <w:szCs w:val="20"/>
        </w:rPr>
        <w:t xml:space="preserve">encouraged </w:t>
      </w:r>
      <w:r w:rsidR="00886C23" w:rsidRPr="008A2991">
        <w:rPr>
          <w:rFonts w:ascii="Times New Roman" w:hAnsi="Times New Roman" w:cs="Times New Roman"/>
          <w:sz w:val="20"/>
          <w:szCs w:val="20"/>
        </w:rPr>
        <w:t>to o</w:t>
      </w:r>
      <w:r w:rsidR="00264627" w:rsidRPr="008A2991">
        <w:rPr>
          <w:rFonts w:ascii="Times New Roman" w:hAnsi="Times New Roman" w:cs="Times New Roman"/>
          <w:sz w:val="20"/>
          <w:szCs w:val="20"/>
        </w:rPr>
        <w:t>pen one</w:t>
      </w:r>
      <w:r w:rsidR="000C7129" w:rsidRPr="008A2991">
        <w:rPr>
          <w:rFonts w:ascii="Times New Roman" w:hAnsi="Times New Roman" w:cs="Times New Roman"/>
          <w:sz w:val="20"/>
          <w:szCs w:val="20"/>
        </w:rPr>
        <w:t>.</w:t>
      </w:r>
    </w:p>
    <w:p w14:paraId="11EE1E8E" w14:textId="4B856427"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Deposit Limit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6</m:t>
            </m:r>
          </m:sub>
        </m:sSub>
      </m:oMath>
      <w:r w:rsidRPr="008A2991">
        <w:rPr>
          <w:rFonts w:ascii="Times New Roman" w:hAnsi="Times New Roman" w:cs="Times New Roman"/>
          <w:sz w:val="20"/>
          <w:szCs w:val="20"/>
        </w:rPr>
        <w:t>)</w:t>
      </w:r>
      <w:r w:rsidR="00737335" w:rsidRPr="008A2991">
        <w:rPr>
          <w:rFonts w:ascii="Times New Roman" w:hAnsi="Times New Roman" w:cs="Times New Roman" w:hint="eastAsia"/>
          <w:sz w:val="20"/>
          <w:szCs w:val="20"/>
        </w:rPr>
        <w:t>:</w:t>
      </w:r>
    </w:p>
    <w:p w14:paraId="6BF0B48E" w14:textId="167335CF" w:rsidR="00BF40D7" w:rsidRPr="008A2991" w:rsidRDefault="000C7129"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The estimated results </w:t>
      </w:r>
      <w:r w:rsidR="00316F72" w:rsidRPr="008A2991">
        <w:rPr>
          <w:rFonts w:ascii="Times New Roman" w:hAnsi="Times New Roman" w:cs="Times New Roman"/>
          <w:sz w:val="20"/>
          <w:szCs w:val="20"/>
        </w:rPr>
        <w:t xml:space="preserve">shown </w:t>
      </w:r>
      <w:r w:rsidRPr="008A2991">
        <w:rPr>
          <w:rFonts w:ascii="Times New Roman" w:hAnsi="Times New Roman" w:cs="Times New Roman"/>
          <w:sz w:val="20"/>
          <w:szCs w:val="20"/>
        </w:rPr>
        <w:t>in Table 3 reveal</w:t>
      </w:r>
      <w:r w:rsidR="00316F72" w:rsidRPr="008A2991">
        <w:rPr>
          <w:rFonts w:ascii="Times New Roman" w:hAnsi="Times New Roman" w:cs="Times New Roman"/>
          <w:sz w:val="20"/>
          <w:szCs w:val="20"/>
        </w:rPr>
        <w:t>ed</w:t>
      </w:r>
      <w:r w:rsidRPr="008A2991">
        <w:rPr>
          <w:rFonts w:ascii="Times New Roman" w:hAnsi="Times New Roman" w:cs="Times New Roman"/>
          <w:sz w:val="20"/>
          <w:szCs w:val="20"/>
        </w:rPr>
        <w:t xml:space="preserve"> </w:t>
      </w:r>
      <w:r w:rsidR="00BF40D7" w:rsidRPr="008A2991">
        <w:rPr>
          <w:rFonts w:ascii="Times New Roman" w:hAnsi="Times New Roman" w:cs="Times New Roman"/>
          <w:sz w:val="20"/>
          <w:szCs w:val="20"/>
        </w:rPr>
        <w:t>the negligible</w:t>
      </w:r>
      <w:r w:rsidRPr="008A2991">
        <w:rPr>
          <w:rFonts w:ascii="Times New Roman" w:hAnsi="Times New Roman" w:cs="Times New Roman"/>
          <w:sz w:val="20"/>
          <w:szCs w:val="20"/>
        </w:rPr>
        <w:t xml:space="preserve"> effect of deposit limit 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6</m:t>
            </m:r>
          </m:sub>
        </m:sSub>
      </m:oMath>
      <w:r w:rsidRPr="008A2991">
        <w:rPr>
          <w:rFonts w:ascii="Times New Roman" w:hAnsi="Times New Roman" w:cs="Times New Roman"/>
          <w:sz w:val="20"/>
          <w:szCs w:val="20"/>
        </w:rPr>
        <w:t>= 0.</w:t>
      </w:r>
      <w:r w:rsidR="001B458F" w:rsidRPr="008A2991">
        <w:rPr>
          <w:rFonts w:ascii="Times New Roman" w:hAnsi="Times New Roman" w:cs="Times New Roman"/>
          <w:sz w:val="20"/>
          <w:szCs w:val="20"/>
        </w:rPr>
        <w:t>050</w:t>
      </w:r>
      <w:r w:rsidRPr="008A2991">
        <w:rPr>
          <w:rFonts w:ascii="Times New Roman" w:hAnsi="Times New Roman" w:cs="Times New Roman"/>
          <w:sz w:val="20"/>
          <w:szCs w:val="20"/>
        </w:rPr>
        <w:t xml:space="preserve"> in </w:t>
      </w:r>
      <w:r w:rsidR="001B458F" w:rsidRPr="008A2991">
        <w:rPr>
          <w:rFonts w:ascii="Times New Roman" w:hAnsi="Times New Roman" w:cs="Times New Roman"/>
          <w:sz w:val="20"/>
          <w:szCs w:val="20"/>
        </w:rPr>
        <w:t>PCA</w:t>
      </w:r>
      <w:r w:rsidRPr="008A2991">
        <w:rPr>
          <w:rFonts w:ascii="Times New Roman" w:hAnsi="Times New Roman" w:cs="Times New Roman"/>
          <w:sz w:val="20"/>
          <w:szCs w:val="20"/>
        </w:rPr>
        <w:t>).</w:t>
      </w:r>
      <w:r w:rsidR="00BF40D7" w:rsidRPr="008A2991">
        <w:rPr>
          <w:rFonts w:ascii="Times New Roman" w:hAnsi="Times New Roman" w:cs="Times New Roman"/>
          <w:sz w:val="20"/>
          <w:szCs w:val="20"/>
        </w:rPr>
        <w:t xml:space="preserve"> </w:t>
      </w:r>
      <w:r w:rsidR="00886C23" w:rsidRPr="008A2991">
        <w:rPr>
          <w:rFonts w:ascii="Times New Roman" w:hAnsi="Times New Roman" w:cs="Times New Roman"/>
          <w:sz w:val="20"/>
          <w:szCs w:val="20"/>
        </w:rPr>
        <w:t xml:space="preserve">Studies have shown that deposit limits do not affect the promotion of </w:t>
      </w:r>
      <w:r w:rsidR="00316F72" w:rsidRPr="008A2991">
        <w:rPr>
          <w:rFonts w:ascii="Times New Roman" w:hAnsi="Times New Roman" w:cs="Times New Roman"/>
          <w:sz w:val="20"/>
          <w:szCs w:val="20"/>
        </w:rPr>
        <w:t xml:space="preserve">a </w:t>
      </w:r>
      <w:r w:rsidR="00886C23" w:rsidRPr="008A2991">
        <w:rPr>
          <w:rFonts w:ascii="Times New Roman" w:hAnsi="Times New Roman" w:cs="Times New Roman"/>
          <w:sz w:val="20"/>
          <w:szCs w:val="20"/>
        </w:rPr>
        <w:t xml:space="preserve">digital account business. The interest </w:t>
      </w:r>
      <w:r w:rsidR="00316F72" w:rsidRPr="008A2991">
        <w:rPr>
          <w:rFonts w:ascii="Times New Roman" w:hAnsi="Times New Roman" w:cs="Times New Roman"/>
          <w:sz w:val="20"/>
          <w:szCs w:val="20"/>
        </w:rPr>
        <w:t xml:space="preserve">pertaining to </w:t>
      </w:r>
      <w:r w:rsidR="00886C23" w:rsidRPr="008A2991">
        <w:rPr>
          <w:rFonts w:ascii="Times New Roman" w:hAnsi="Times New Roman" w:cs="Times New Roman"/>
          <w:sz w:val="20"/>
          <w:szCs w:val="20"/>
        </w:rPr>
        <w:t xml:space="preserve">digital accounts is </w:t>
      </w:r>
      <w:r w:rsidR="00D4086F" w:rsidRPr="008A2991">
        <w:rPr>
          <w:rFonts w:ascii="Times New Roman" w:hAnsi="Times New Roman" w:cs="Times New Roman"/>
          <w:sz w:val="20"/>
          <w:szCs w:val="20"/>
        </w:rPr>
        <w:t xml:space="preserve">usually </w:t>
      </w:r>
      <w:r w:rsidR="00886C23" w:rsidRPr="008A2991">
        <w:rPr>
          <w:rFonts w:ascii="Times New Roman" w:hAnsi="Times New Roman" w:cs="Times New Roman"/>
          <w:sz w:val="20"/>
          <w:szCs w:val="20"/>
        </w:rPr>
        <w:t xml:space="preserve">higher than that of traditional banks, </w:t>
      </w:r>
      <w:r w:rsidR="001860D9" w:rsidRPr="008A2991">
        <w:rPr>
          <w:rFonts w:ascii="Times New Roman" w:hAnsi="Times New Roman" w:cs="Times New Roman"/>
          <w:sz w:val="20"/>
          <w:szCs w:val="20"/>
        </w:rPr>
        <w:t xml:space="preserve">which </w:t>
      </w:r>
      <w:r w:rsidR="00316F72" w:rsidRPr="008A2991">
        <w:rPr>
          <w:rFonts w:ascii="Times New Roman" w:hAnsi="Times New Roman" w:cs="Times New Roman"/>
          <w:sz w:val="20"/>
          <w:szCs w:val="20"/>
        </w:rPr>
        <w:t>generally</w:t>
      </w:r>
      <w:r w:rsidR="001860D9" w:rsidRPr="008A2991">
        <w:rPr>
          <w:rFonts w:ascii="Times New Roman" w:hAnsi="Times New Roman" w:cs="Times New Roman"/>
          <w:sz w:val="20"/>
          <w:szCs w:val="20"/>
        </w:rPr>
        <w:t xml:space="preserve"> have</w:t>
      </w:r>
      <w:r w:rsidR="00886C23" w:rsidRPr="008A2991">
        <w:rPr>
          <w:rFonts w:ascii="Times New Roman" w:hAnsi="Times New Roman" w:cs="Times New Roman"/>
          <w:sz w:val="20"/>
          <w:szCs w:val="20"/>
        </w:rPr>
        <w:t xml:space="preserve"> no limit</w:t>
      </w:r>
      <w:r w:rsidR="001860D9"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w:t>
      </w:r>
      <w:r w:rsidR="00316F72" w:rsidRPr="008A2991">
        <w:rPr>
          <w:rFonts w:ascii="Times New Roman" w:hAnsi="Times New Roman" w:cs="Times New Roman"/>
          <w:sz w:val="20"/>
          <w:szCs w:val="20"/>
        </w:rPr>
        <w:t xml:space="preserve">or </w:t>
      </w:r>
      <w:r w:rsidR="00886C23" w:rsidRPr="008A2991">
        <w:rPr>
          <w:rFonts w:ascii="Times New Roman" w:hAnsi="Times New Roman" w:cs="Times New Roman"/>
          <w:sz w:val="20"/>
          <w:szCs w:val="20"/>
        </w:rPr>
        <w:t xml:space="preserve">interest. </w:t>
      </w:r>
      <w:r w:rsidR="00D277EF" w:rsidRPr="008A2991">
        <w:rPr>
          <w:rFonts w:ascii="Times New Roman" w:hAnsi="Times New Roman" w:cs="Times New Roman"/>
          <w:sz w:val="20"/>
          <w:szCs w:val="20"/>
        </w:rPr>
        <w:t>Since</w:t>
      </w:r>
      <w:r w:rsidR="00886C23" w:rsidRPr="008A2991">
        <w:rPr>
          <w:rFonts w:ascii="Times New Roman" w:hAnsi="Times New Roman" w:cs="Times New Roman"/>
          <w:sz w:val="20"/>
          <w:szCs w:val="20"/>
        </w:rPr>
        <w:t xml:space="preserve"> traditional bank</w:t>
      </w:r>
      <w:r w:rsidR="00D277EF"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ha</w:t>
      </w:r>
      <w:r w:rsidR="00D277EF" w:rsidRPr="008A2991">
        <w:rPr>
          <w:rFonts w:ascii="Times New Roman" w:hAnsi="Times New Roman" w:cs="Times New Roman"/>
          <w:sz w:val="20"/>
          <w:szCs w:val="20"/>
        </w:rPr>
        <w:t>ve</w:t>
      </w:r>
      <w:r w:rsidR="00886C23" w:rsidRPr="008A2991">
        <w:rPr>
          <w:rFonts w:ascii="Times New Roman" w:hAnsi="Times New Roman" w:cs="Times New Roman"/>
          <w:sz w:val="20"/>
          <w:szCs w:val="20"/>
        </w:rPr>
        <w:t xml:space="preserve"> deposit limits</w:t>
      </w:r>
      <w:r w:rsidR="00D277EF"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w:t>
      </w:r>
      <w:r w:rsidR="00D277EF" w:rsidRPr="008A2991">
        <w:rPr>
          <w:rFonts w:ascii="Times New Roman" w:hAnsi="Times New Roman" w:cs="Times New Roman"/>
          <w:sz w:val="20"/>
          <w:szCs w:val="20"/>
        </w:rPr>
        <w:t>they</w:t>
      </w:r>
      <w:r w:rsidR="00886C23" w:rsidRPr="008A2991">
        <w:rPr>
          <w:rFonts w:ascii="Times New Roman" w:hAnsi="Times New Roman" w:cs="Times New Roman"/>
          <w:sz w:val="20"/>
          <w:szCs w:val="20"/>
        </w:rPr>
        <w:t xml:space="preserve"> will not pay interest if the deposit amount exceeds the deposit limit. </w:t>
      </w:r>
      <w:r w:rsidR="00316F72" w:rsidRPr="008A2991">
        <w:rPr>
          <w:rFonts w:ascii="Times New Roman" w:hAnsi="Times New Roman" w:cs="Times New Roman"/>
          <w:sz w:val="20"/>
          <w:szCs w:val="20"/>
        </w:rPr>
        <w:t>While</w:t>
      </w:r>
      <w:r w:rsidR="00886C23" w:rsidRPr="008A2991">
        <w:rPr>
          <w:rFonts w:ascii="Times New Roman" w:hAnsi="Times New Roman" w:cs="Times New Roman"/>
          <w:sz w:val="20"/>
          <w:szCs w:val="20"/>
        </w:rPr>
        <w:t xml:space="preserve"> the interest rate of a digital bank is higher than that of a traditional bank, a digital account needs to be deposited into the account through </w:t>
      </w:r>
      <w:r w:rsidR="00D277EF" w:rsidRPr="008A2991">
        <w:rPr>
          <w:rFonts w:ascii="Times New Roman" w:hAnsi="Times New Roman" w:cs="Times New Roman"/>
          <w:sz w:val="20"/>
          <w:szCs w:val="20"/>
        </w:rPr>
        <w:t xml:space="preserve">an </w:t>
      </w:r>
      <w:r w:rsidR="00886C23" w:rsidRPr="008A2991">
        <w:rPr>
          <w:rFonts w:ascii="Times New Roman" w:hAnsi="Times New Roman" w:cs="Times New Roman"/>
          <w:sz w:val="20"/>
          <w:szCs w:val="20"/>
        </w:rPr>
        <w:t>ATM</w:t>
      </w:r>
      <w:r w:rsidR="00D277EF" w:rsidRPr="008A2991">
        <w:rPr>
          <w:rFonts w:ascii="Times New Roman" w:hAnsi="Times New Roman" w:cs="Times New Roman"/>
          <w:sz w:val="20"/>
          <w:szCs w:val="20"/>
        </w:rPr>
        <w:t>.</w:t>
      </w:r>
      <w:r w:rsidR="00886C23" w:rsidRPr="008A2991">
        <w:rPr>
          <w:rFonts w:ascii="Times New Roman" w:hAnsi="Times New Roman" w:cs="Times New Roman"/>
          <w:sz w:val="20"/>
          <w:szCs w:val="20"/>
        </w:rPr>
        <w:t xml:space="preserve"> </w:t>
      </w:r>
      <w:r w:rsidR="00D277EF" w:rsidRPr="008A2991">
        <w:rPr>
          <w:rFonts w:ascii="Times New Roman" w:hAnsi="Times New Roman" w:cs="Times New Roman"/>
          <w:sz w:val="20"/>
          <w:szCs w:val="20"/>
        </w:rPr>
        <w:t>B</w:t>
      </w:r>
      <w:r w:rsidR="00886C23" w:rsidRPr="008A2991">
        <w:rPr>
          <w:rFonts w:ascii="Times New Roman" w:hAnsi="Times New Roman" w:cs="Times New Roman"/>
          <w:sz w:val="20"/>
          <w:szCs w:val="20"/>
        </w:rPr>
        <w:t xml:space="preserve">anks </w:t>
      </w:r>
      <w:r w:rsidR="00D277EF" w:rsidRPr="008A2991">
        <w:rPr>
          <w:rFonts w:ascii="Times New Roman" w:hAnsi="Times New Roman" w:cs="Times New Roman"/>
          <w:sz w:val="20"/>
          <w:szCs w:val="20"/>
        </w:rPr>
        <w:t xml:space="preserve">then </w:t>
      </w:r>
      <w:r w:rsidR="00886C23" w:rsidRPr="008A2991">
        <w:rPr>
          <w:rFonts w:ascii="Times New Roman" w:hAnsi="Times New Roman" w:cs="Times New Roman"/>
          <w:sz w:val="20"/>
          <w:szCs w:val="20"/>
        </w:rPr>
        <w:t>need to bear the usage fee</w:t>
      </w:r>
      <w:r w:rsidR="00D277EF" w:rsidRPr="008A2991">
        <w:rPr>
          <w:rFonts w:ascii="Times New Roman" w:hAnsi="Times New Roman" w:cs="Times New Roman"/>
          <w:sz w:val="20"/>
          <w:szCs w:val="20"/>
        </w:rPr>
        <w:t xml:space="preserve"> of ATMs</w:t>
      </w:r>
      <w:r w:rsidR="00886C23" w:rsidRPr="008A2991">
        <w:rPr>
          <w:rFonts w:ascii="Times New Roman" w:hAnsi="Times New Roman" w:cs="Times New Roman"/>
          <w:sz w:val="20"/>
          <w:szCs w:val="20"/>
        </w:rPr>
        <w:t xml:space="preserve"> (the current bank fee is 15 NTD in Taiwan), </w:t>
      </w:r>
      <w:r w:rsidR="00D277EF" w:rsidRPr="008A2991">
        <w:rPr>
          <w:rFonts w:ascii="Times New Roman" w:hAnsi="Times New Roman" w:cs="Times New Roman"/>
          <w:sz w:val="20"/>
          <w:szCs w:val="20"/>
        </w:rPr>
        <w:t>which</w:t>
      </w:r>
      <w:r w:rsidR="00886C23" w:rsidRPr="008A2991">
        <w:rPr>
          <w:rFonts w:ascii="Times New Roman" w:hAnsi="Times New Roman" w:cs="Times New Roman"/>
          <w:sz w:val="20"/>
          <w:szCs w:val="20"/>
        </w:rPr>
        <w:t xml:space="preserve"> will </w:t>
      </w:r>
      <w:r w:rsidR="00316F72" w:rsidRPr="008A2991">
        <w:rPr>
          <w:rFonts w:ascii="Times New Roman" w:hAnsi="Times New Roman" w:cs="Times New Roman"/>
          <w:sz w:val="20"/>
          <w:szCs w:val="20"/>
        </w:rPr>
        <w:t xml:space="preserve">deter </w:t>
      </w:r>
      <w:r w:rsidR="00886C23" w:rsidRPr="008A2991">
        <w:rPr>
          <w:rFonts w:ascii="Times New Roman" w:hAnsi="Times New Roman" w:cs="Times New Roman"/>
          <w:sz w:val="20"/>
          <w:szCs w:val="20"/>
        </w:rPr>
        <w:t xml:space="preserve">the public </w:t>
      </w:r>
      <w:r w:rsidR="00316F72" w:rsidRPr="008A2991">
        <w:rPr>
          <w:rFonts w:ascii="Times New Roman" w:hAnsi="Times New Roman" w:cs="Times New Roman"/>
          <w:sz w:val="20"/>
          <w:szCs w:val="20"/>
        </w:rPr>
        <w:t xml:space="preserve">from </w:t>
      </w:r>
      <w:r w:rsidR="00886C23" w:rsidRPr="008A2991">
        <w:rPr>
          <w:rFonts w:ascii="Times New Roman" w:hAnsi="Times New Roman" w:cs="Times New Roman"/>
          <w:sz w:val="20"/>
          <w:szCs w:val="20"/>
        </w:rPr>
        <w:t>open</w:t>
      </w:r>
      <w:r w:rsidR="00316F72" w:rsidRPr="008A2991">
        <w:rPr>
          <w:rFonts w:ascii="Times New Roman" w:hAnsi="Times New Roman" w:cs="Times New Roman"/>
          <w:sz w:val="20"/>
          <w:szCs w:val="20"/>
        </w:rPr>
        <w:t>ing</w:t>
      </w:r>
      <w:r w:rsidR="00886C23" w:rsidRPr="008A2991">
        <w:rPr>
          <w:rFonts w:ascii="Times New Roman" w:hAnsi="Times New Roman" w:cs="Times New Roman"/>
          <w:sz w:val="20"/>
          <w:szCs w:val="20"/>
        </w:rPr>
        <w:t xml:space="preserve"> a digital account</w:t>
      </w:r>
      <w:r w:rsidR="00BF40D7" w:rsidRPr="008A2991">
        <w:rPr>
          <w:rFonts w:ascii="Times New Roman" w:hAnsi="Times New Roman" w:cs="Times New Roman"/>
          <w:sz w:val="20"/>
          <w:szCs w:val="20"/>
        </w:rPr>
        <w:t>.</w:t>
      </w:r>
    </w:p>
    <w:p w14:paraId="42ED5E2F" w14:textId="0E6FA3EF" w:rsidR="000C7129" w:rsidRPr="008A2991" w:rsidRDefault="000C7129" w:rsidP="00437EE1">
      <w:pPr>
        <w:pStyle w:val="aa"/>
        <w:numPr>
          <w:ilvl w:val="0"/>
          <w:numId w:val="8"/>
        </w:numPr>
        <w:spacing w:after="60"/>
        <w:ind w:leftChars="0" w:left="0" w:firstLine="0"/>
        <w:jc w:val="both"/>
        <w:rPr>
          <w:rFonts w:ascii="Times New Roman" w:hAnsi="Times New Roman" w:cs="Times New Roman"/>
          <w:sz w:val="20"/>
          <w:szCs w:val="20"/>
        </w:rPr>
      </w:pPr>
      <w:r w:rsidRPr="008A2991">
        <w:rPr>
          <w:rFonts w:ascii="Times New Roman" w:hAnsi="Times New Roman" w:cs="Times New Roman"/>
          <w:sz w:val="20"/>
          <w:szCs w:val="20"/>
        </w:rPr>
        <w:t>Account Opening Age Limit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7</m:t>
            </m:r>
          </m:sub>
        </m:sSub>
      </m:oMath>
      <w:r w:rsidRPr="008A2991">
        <w:rPr>
          <w:rFonts w:ascii="Times New Roman" w:hAnsi="Times New Roman" w:cs="Times New Roman"/>
          <w:sz w:val="20"/>
          <w:szCs w:val="20"/>
        </w:rPr>
        <w:t xml:space="preserve">): </w:t>
      </w:r>
    </w:p>
    <w:p w14:paraId="6E86DCB4" w14:textId="6E4953F3" w:rsidR="00BB5664" w:rsidRPr="008A2991" w:rsidRDefault="00316F72" w:rsidP="00B004E2">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As </w:t>
      </w:r>
      <w:r w:rsidR="000C7129" w:rsidRPr="008A2991">
        <w:rPr>
          <w:rFonts w:ascii="Times New Roman" w:hAnsi="Times New Roman" w:cs="Times New Roman"/>
          <w:sz w:val="20"/>
          <w:szCs w:val="20"/>
        </w:rPr>
        <w:t>Table 3</w:t>
      </w:r>
      <w:r w:rsidR="006F16B1" w:rsidRPr="008A2991">
        <w:rPr>
          <w:rFonts w:ascii="Times New Roman" w:hAnsi="Times New Roman" w:cs="Times New Roman"/>
          <w:sz w:val="20"/>
          <w:szCs w:val="20"/>
        </w:rPr>
        <w:t xml:space="preserve"> shows</w:t>
      </w:r>
      <w:r w:rsidRPr="008A2991">
        <w:rPr>
          <w:rFonts w:ascii="Times New Roman" w:hAnsi="Times New Roman" w:cs="Times New Roman"/>
          <w:sz w:val="20"/>
          <w:szCs w:val="20"/>
        </w:rPr>
        <w:t>,</w:t>
      </w:r>
      <w:r w:rsidR="000C7129" w:rsidRPr="008A2991">
        <w:rPr>
          <w:rFonts w:ascii="Times New Roman" w:hAnsi="Times New Roman" w:cs="Times New Roman"/>
          <w:sz w:val="20"/>
          <w:szCs w:val="20"/>
        </w:rPr>
        <w:t xml:space="preserve"> the effects of age restriction on digital banking development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7</m:t>
            </m:r>
          </m:sub>
        </m:sSub>
      </m:oMath>
      <w:r w:rsidR="000C7129" w:rsidRPr="008A2991">
        <w:rPr>
          <w:rFonts w:ascii="Times New Roman" w:hAnsi="Times New Roman" w:cs="Times New Roman"/>
          <w:sz w:val="20"/>
          <w:szCs w:val="20"/>
        </w:rPr>
        <w:t xml:space="preserve">= </w:t>
      </w:r>
      <w:r w:rsidR="005442B6" w:rsidRPr="008A2991">
        <w:rPr>
          <w:rFonts w:ascii="Times New Roman" w:hAnsi="Times New Roman" w:cs="Times New Roman"/>
          <w:sz w:val="20"/>
          <w:szCs w:val="20"/>
        </w:rPr>
        <w:t>-</w:t>
      </w:r>
      <w:r w:rsidR="000C7129" w:rsidRPr="008A2991">
        <w:rPr>
          <w:rFonts w:ascii="Times New Roman" w:hAnsi="Times New Roman" w:cs="Times New Roman"/>
          <w:sz w:val="20"/>
          <w:szCs w:val="20"/>
        </w:rPr>
        <w:t>0.</w:t>
      </w:r>
      <w:r w:rsidR="006C2ABB" w:rsidRPr="008A2991">
        <w:rPr>
          <w:rFonts w:ascii="Times New Roman" w:hAnsi="Times New Roman" w:cs="Times New Roman"/>
          <w:sz w:val="20"/>
          <w:szCs w:val="20"/>
        </w:rPr>
        <w:t>756</w:t>
      </w:r>
      <w:r w:rsidR="000C7129" w:rsidRPr="008A2991">
        <w:rPr>
          <w:rFonts w:ascii="Times New Roman" w:hAnsi="Times New Roman" w:cs="Times New Roman"/>
          <w:sz w:val="20"/>
          <w:szCs w:val="20"/>
        </w:rPr>
        <w:t xml:space="preserve"> in </w:t>
      </w:r>
      <w:r w:rsidR="006C2ABB" w:rsidRPr="008A2991">
        <w:rPr>
          <w:rFonts w:ascii="Times New Roman" w:hAnsi="Times New Roman" w:cs="Times New Roman"/>
          <w:sz w:val="20"/>
          <w:szCs w:val="20"/>
        </w:rPr>
        <w:t>PCA</w:t>
      </w:r>
      <w:r w:rsidR="000C7129" w:rsidRPr="008A2991">
        <w:rPr>
          <w:rFonts w:ascii="Times New Roman" w:hAnsi="Times New Roman" w:cs="Times New Roman"/>
          <w:sz w:val="20"/>
          <w:szCs w:val="20"/>
        </w:rPr>
        <w:t xml:space="preserve">) </w:t>
      </w:r>
      <w:r w:rsidR="00886C23" w:rsidRPr="008A2991">
        <w:rPr>
          <w:rFonts w:ascii="Times New Roman" w:hAnsi="Times New Roman" w:cs="Times New Roman"/>
          <w:sz w:val="20"/>
          <w:szCs w:val="20"/>
        </w:rPr>
        <w:t xml:space="preserve">are negligible. </w:t>
      </w:r>
      <w:r w:rsidR="006F16B1" w:rsidRPr="008A2991">
        <w:rPr>
          <w:rFonts w:ascii="Times New Roman" w:hAnsi="Times New Roman" w:cs="Times New Roman"/>
          <w:sz w:val="20"/>
          <w:szCs w:val="20"/>
        </w:rPr>
        <w:t>Age</w:t>
      </w:r>
      <w:r w:rsidR="00886C23" w:rsidRPr="008A2991">
        <w:rPr>
          <w:rFonts w:ascii="Times New Roman" w:hAnsi="Times New Roman" w:cs="Times New Roman"/>
          <w:sz w:val="20"/>
          <w:szCs w:val="20"/>
        </w:rPr>
        <w:t xml:space="preserve"> is not an important factor affecting the development of digital banking. In Taiwan, </w:t>
      </w:r>
      <w:r w:rsidR="00861444" w:rsidRPr="008A2991">
        <w:rPr>
          <w:rFonts w:ascii="Times New Roman" w:hAnsi="Times New Roman" w:cs="Times New Roman"/>
          <w:sz w:val="20"/>
          <w:szCs w:val="20"/>
        </w:rPr>
        <w:t xml:space="preserve">you must be over 20 years </w:t>
      </w:r>
      <w:r w:rsidRPr="008A2991">
        <w:rPr>
          <w:rFonts w:ascii="Times New Roman" w:hAnsi="Times New Roman" w:cs="Times New Roman"/>
          <w:sz w:val="20"/>
          <w:szCs w:val="20"/>
        </w:rPr>
        <w:t xml:space="preserve">of age </w:t>
      </w:r>
      <w:r w:rsidR="00861444" w:rsidRPr="008A2991">
        <w:rPr>
          <w:rFonts w:ascii="Times New Roman" w:hAnsi="Times New Roman" w:cs="Times New Roman"/>
          <w:sz w:val="20"/>
          <w:szCs w:val="20"/>
        </w:rPr>
        <w:t>to open</w:t>
      </w:r>
      <w:r w:rsidR="00886C23" w:rsidRPr="008A2991">
        <w:rPr>
          <w:rFonts w:ascii="Times New Roman" w:hAnsi="Times New Roman" w:cs="Times New Roman"/>
          <w:sz w:val="20"/>
          <w:szCs w:val="20"/>
        </w:rPr>
        <w:t xml:space="preserve"> a bank account by yourself. Between the age</w:t>
      </w:r>
      <w:r w:rsidR="00861444"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of 7 and 20, </w:t>
      </w:r>
      <w:r w:rsidR="00861444" w:rsidRPr="008A2991">
        <w:rPr>
          <w:rFonts w:ascii="Times New Roman" w:hAnsi="Times New Roman" w:cs="Times New Roman"/>
          <w:sz w:val="20"/>
          <w:szCs w:val="20"/>
        </w:rPr>
        <w:t xml:space="preserve">a </w:t>
      </w:r>
      <w:r w:rsidR="00886C23" w:rsidRPr="008A2991">
        <w:rPr>
          <w:rFonts w:ascii="Times New Roman" w:hAnsi="Times New Roman" w:cs="Times New Roman"/>
          <w:sz w:val="20"/>
          <w:szCs w:val="20"/>
        </w:rPr>
        <w:t xml:space="preserve">consent form </w:t>
      </w:r>
      <w:r w:rsidR="00861444" w:rsidRPr="008A2991">
        <w:rPr>
          <w:rFonts w:ascii="Times New Roman" w:hAnsi="Times New Roman" w:cs="Times New Roman"/>
          <w:sz w:val="20"/>
          <w:szCs w:val="20"/>
        </w:rPr>
        <w:t>from a</w:t>
      </w:r>
      <w:r w:rsidR="00886C23" w:rsidRPr="008A2991">
        <w:rPr>
          <w:rFonts w:ascii="Times New Roman" w:hAnsi="Times New Roman" w:cs="Times New Roman"/>
          <w:sz w:val="20"/>
          <w:szCs w:val="20"/>
        </w:rPr>
        <w:t xml:space="preserve"> legal representative (</w:t>
      </w:r>
      <w:r w:rsidR="00861444" w:rsidRPr="008A2991">
        <w:rPr>
          <w:rFonts w:ascii="Times New Roman" w:hAnsi="Times New Roman" w:cs="Times New Roman"/>
          <w:sz w:val="20"/>
          <w:szCs w:val="20"/>
        </w:rPr>
        <w:t xml:space="preserve">e.g., </w:t>
      </w:r>
      <w:r w:rsidR="00886C23" w:rsidRPr="008A2991">
        <w:rPr>
          <w:rFonts w:ascii="Times New Roman" w:hAnsi="Times New Roman" w:cs="Times New Roman"/>
          <w:sz w:val="20"/>
          <w:szCs w:val="20"/>
        </w:rPr>
        <w:t>parents)</w:t>
      </w:r>
      <w:r w:rsidR="00861444" w:rsidRPr="008A2991">
        <w:rPr>
          <w:rFonts w:ascii="Times New Roman" w:hAnsi="Times New Roman" w:cs="Times New Roman"/>
          <w:sz w:val="20"/>
          <w:szCs w:val="20"/>
        </w:rPr>
        <w:t xml:space="preserve"> is required, along with</w:t>
      </w:r>
      <w:r w:rsidR="00886C23" w:rsidRPr="008A2991">
        <w:rPr>
          <w:rFonts w:ascii="Times New Roman" w:hAnsi="Times New Roman" w:cs="Times New Roman"/>
          <w:sz w:val="20"/>
          <w:szCs w:val="20"/>
        </w:rPr>
        <w:t xml:space="preserve"> two </w:t>
      </w:r>
      <w:r w:rsidR="00861444" w:rsidRPr="008A2991">
        <w:rPr>
          <w:rFonts w:ascii="Times New Roman" w:hAnsi="Times New Roman" w:cs="Times New Roman"/>
          <w:sz w:val="20"/>
          <w:szCs w:val="20"/>
        </w:rPr>
        <w:t xml:space="preserve">other </w:t>
      </w:r>
      <w:r w:rsidR="00886C23" w:rsidRPr="008A2991">
        <w:rPr>
          <w:rFonts w:ascii="Times New Roman" w:hAnsi="Times New Roman" w:cs="Times New Roman"/>
          <w:sz w:val="20"/>
          <w:szCs w:val="20"/>
        </w:rPr>
        <w:t xml:space="preserve">documents. </w:t>
      </w:r>
      <w:r w:rsidRPr="008A2991">
        <w:rPr>
          <w:rFonts w:ascii="Times New Roman" w:hAnsi="Times New Roman" w:cs="Times New Roman"/>
          <w:sz w:val="20"/>
          <w:szCs w:val="20"/>
        </w:rPr>
        <w:t>In a</w:t>
      </w:r>
      <w:r w:rsidR="00886C23" w:rsidRPr="008A2991">
        <w:rPr>
          <w:rFonts w:ascii="Times New Roman" w:hAnsi="Times New Roman" w:cs="Times New Roman"/>
          <w:sz w:val="20"/>
          <w:szCs w:val="20"/>
        </w:rPr>
        <w:t>ddition, digital account</w:t>
      </w:r>
      <w:r w:rsidR="0016517D"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do not differ from general savings account</w:t>
      </w:r>
      <w:r w:rsidR="0016517D" w:rsidRPr="008A2991">
        <w:rPr>
          <w:rFonts w:ascii="Times New Roman" w:hAnsi="Times New Roman" w:cs="Times New Roman"/>
          <w:sz w:val="20"/>
          <w:szCs w:val="20"/>
        </w:rPr>
        <w:t>s</w:t>
      </w:r>
      <w:r w:rsidR="00886C23" w:rsidRPr="008A2991">
        <w:rPr>
          <w:rFonts w:ascii="Times New Roman" w:hAnsi="Times New Roman" w:cs="Times New Roman"/>
          <w:sz w:val="20"/>
          <w:szCs w:val="20"/>
        </w:rPr>
        <w:t xml:space="preserve"> (</w:t>
      </w:r>
      <w:r w:rsidR="0016517D" w:rsidRPr="008A2991">
        <w:rPr>
          <w:rFonts w:ascii="Times New Roman" w:hAnsi="Times New Roman" w:cs="Times New Roman"/>
          <w:sz w:val="20"/>
          <w:szCs w:val="20"/>
        </w:rPr>
        <w:t xml:space="preserve">at </w:t>
      </w:r>
      <w:r w:rsidR="00886C23" w:rsidRPr="008A2991">
        <w:rPr>
          <w:rFonts w:ascii="Times New Roman" w:hAnsi="Times New Roman" w:cs="Times New Roman"/>
          <w:sz w:val="20"/>
          <w:szCs w:val="20"/>
        </w:rPr>
        <w:t xml:space="preserve">traditional banks) in terms of function, but </w:t>
      </w:r>
      <w:r w:rsidR="0016517D" w:rsidRPr="008A2991">
        <w:rPr>
          <w:rFonts w:ascii="Times New Roman" w:hAnsi="Times New Roman" w:cs="Times New Roman"/>
          <w:sz w:val="20"/>
          <w:szCs w:val="20"/>
        </w:rPr>
        <w:t xml:space="preserve">since </w:t>
      </w:r>
      <w:r w:rsidR="00886C23" w:rsidRPr="008A2991">
        <w:rPr>
          <w:rFonts w:ascii="Times New Roman" w:hAnsi="Times New Roman" w:cs="Times New Roman"/>
          <w:sz w:val="20"/>
          <w:szCs w:val="20"/>
        </w:rPr>
        <w:t xml:space="preserve">there is no physical passbook, all services </w:t>
      </w:r>
      <w:r w:rsidR="0016517D" w:rsidRPr="008A2991">
        <w:rPr>
          <w:rFonts w:ascii="Times New Roman" w:hAnsi="Times New Roman" w:cs="Times New Roman"/>
          <w:sz w:val="20"/>
          <w:szCs w:val="20"/>
        </w:rPr>
        <w:t>must be</w:t>
      </w:r>
      <w:r w:rsidR="00886C23" w:rsidRPr="008A2991">
        <w:rPr>
          <w:rFonts w:ascii="Times New Roman" w:hAnsi="Times New Roman" w:cs="Times New Roman"/>
          <w:sz w:val="20"/>
          <w:szCs w:val="20"/>
        </w:rPr>
        <w:t xml:space="preserve"> available through the </w:t>
      </w:r>
      <w:r w:rsidR="0016517D" w:rsidRPr="008A2991">
        <w:rPr>
          <w:rFonts w:ascii="Times New Roman" w:hAnsi="Times New Roman" w:cs="Times New Roman"/>
          <w:sz w:val="20"/>
          <w:szCs w:val="20"/>
        </w:rPr>
        <w:t>i</w:t>
      </w:r>
      <w:r w:rsidR="00886C23" w:rsidRPr="008A2991">
        <w:rPr>
          <w:rFonts w:ascii="Times New Roman" w:hAnsi="Times New Roman" w:cs="Times New Roman"/>
          <w:sz w:val="20"/>
          <w:szCs w:val="20"/>
        </w:rPr>
        <w:t xml:space="preserve">nternet. </w:t>
      </w:r>
      <w:r w:rsidR="0016517D" w:rsidRPr="008A2991">
        <w:rPr>
          <w:rFonts w:ascii="Times New Roman" w:hAnsi="Times New Roman" w:cs="Times New Roman"/>
          <w:sz w:val="20"/>
          <w:szCs w:val="20"/>
        </w:rPr>
        <w:t>Therefore</w:t>
      </w:r>
      <w:r w:rsidR="00886C23" w:rsidRPr="008A2991">
        <w:rPr>
          <w:rFonts w:ascii="Times New Roman" w:hAnsi="Times New Roman" w:cs="Times New Roman"/>
          <w:sz w:val="20"/>
          <w:szCs w:val="20"/>
        </w:rPr>
        <w:t xml:space="preserve">, digital accounts are </w:t>
      </w:r>
      <w:r w:rsidR="0016517D" w:rsidRPr="008A2991">
        <w:rPr>
          <w:rFonts w:ascii="Times New Roman" w:hAnsi="Times New Roman" w:cs="Times New Roman"/>
          <w:sz w:val="20"/>
          <w:szCs w:val="20"/>
        </w:rPr>
        <w:t xml:space="preserve">essentially </w:t>
      </w:r>
      <w:r w:rsidR="00886C23" w:rsidRPr="008A2991">
        <w:rPr>
          <w:rFonts w:ascii="Times New Roman" w:hAnsi="Times New Roman" w:cs="Times New Roman"/>
          <w:sz w:val="20"/>
          <w:szCs w:val="20"/>
        </w:rPr>
        <w:t>the same as physical accounts. The</w:t>
      </w:r>
      <w:r w:rsidR="0073737F" w:rsidRPr="008A2991">
        <w:rPr>
          <w:rFonts w:ascii="Times New Roman" w:hAnsi="Times New Roman" w:cs="Times New Roman"/>
          <w:sz w:val="20"/>
          <w:szCs w:val="20"/>
        </w:rPr>
        <w:t>y</w:t>
      </w:r>
      <w:r w:rsidR="00886C23" w:rsidRPr="008A2991">
        <w:rPr>
          <w:rFonts w:ascii="Times New Roman" w:hAnsi="Times New Roman" w:cs="Times New Roman"/>
          <w:sz w:val="20"/>
          <w:szCs w:val="20"/>
        </w:rPr>
        <w:t xml:space="preserve"> show transactions (e.g., number of deposits) and </w:t>
      </w:r>
      <w:r w:rsidR="0073737F" w:rsidRPr="008A2991">
        <w:rPr>
          <w:rFonts w:ascii="Times New Roman" w:hAnsi="Times New Roman" w:cs="Times New Roman"/>
          <w:sz w:val="20"/>
          <w:szCs w:val="20"/>
        </w:rPr>
        <w:t>the</w:t>
      </w:r>
      <w:r w:rsidR="00886C23" w:rsidRPr="008A2991">
        <w:rPr>
          <w:rFonts w:ascii="Times New Roman" w:hAnsi="Times New Roman" w:cs="Times New Roman"/>
          <w:sz w:val="20"/>
          <w:szCs w:val="20"/>
        </w:rPr>
        <w:t xml:space="preserve"> minuscule salary </w:t>
      </w:r>
      <w:r w:rsidR="0073737F" w:rsidRPr="008A2991">
        <w:rPr>
          <w:rFonts w:ascii="Times New Roman" w:hAnsi="Times New Roman" w:cs="Times New Roman"/>
          <w:sz w:val="20"/>
          <w:szCs w:val="20"/>
        </w:rPr>
        <w:t xml:space="preserve">that young people are paid </w:t>
      </w:r>
      <w:r w:rsidR="00886C23" w:rsidRPr="008A2991">
        <w:rPr>
          <w:rFonts w:ascii="Times New Roman" w:hAnsi="Times New Roman" w:cs="Times New Roman"/>
          <w:sz w:val="20"/>
          <w:szCs w:val="20"/>
        </w:rPr>
        <w:t>in Taiwan. Therefore, even lowering the age limit w</w:t>
      </w:r>
      <w:r w:rsidR="00F4308C" w:rsidRPr="008A2991">
        <w:rPr>
          <w:rFonts w:ascii="Times New Roman" w:hAnsi="Times New Roman" w:cs="Times New Roman"/>
          <w:sz w:val="20"/>
          <w:szCs w:val="20"/>
        </w:rPr>
        <w:t>ould</w:t>
      </w:r>
      <w:r w:rsidR="00886C23" w:rsidRPr="008A2991">
        <w:rPr>
          <w:rFonts w:ascii="Times New Roman" w:hAnsi="Times New Roman" w:cs="Times New Roman"/>
          <w:sz w:val="20"/>
          <w:szCs w:val="20"/>
        </w:rPr>
        <w:t xml:space="preserve"> not help </w:t>
      </w:r>
      <w:r w:rsidR="00F4308C" w:rsidRPr="008A2991">
        <w:rPr>
          <w:rFonts w:ascii="Times New Roman" w:hAnsi="Times New Roman" w:cs="Times New Roman"/>
          <w:sz w:val="20"/>
          <w:szCs w:val="20"/>
        </w:rPr>
        <w:t>with</w:t>
      </w:r>
      <w:r w:rsidR="00886C23" w:rsidRPr="008A2991">
        <w:rPr>
          <w:rFonts w:ascii="Times New Roman" w:hAnsi="Times New Roman" w:cs="Times New Roman"/>
          <w:sz w:val="20"/>
          <w:szCs w:val="20"/>
        </w:rPr>
        <w:t xml:space="preserve"> digital banking. </w:t>
      </w:r>
      <w:r w:rsidR="00F4308C" w:rsidRPr="008A2991">
        <w:rPr>
          <w:rFonts w:ascii="Times New Roman" w:hAnsi="Times New Roman" w:cs="Times New Roman"/>
          <w:sz w:val="20"/>
          <w:szCs w:val="20"/>
        </w:rPr>
        <w:t>Furthermore,</w:t>
      </w:r>
      <w:r w:rsidR="00886C23" w:rsidRPr="008A2991">
        <w:rPr>
          <w:rFonts w:ascii="Times New Roman" w:hAnsi="Times New Roman" w:cs="Times New Roman"/>
          <w:sz w:val="20"/>
          <w:szCs w:val="20"/>
        </w:rPr>
        <w:t xml:space="preserve"> young people </w:t>
      </w:r>
      <w:r w:rsidR="00F4308C" w:rsidRPr="008A2991">
        <w:rPr>
          <w:rFonts w:ascii="Times New Roman" w:hAnsi="Times New Roman" w:cs="Times New Roman"/>
          <w:sz w:val="20"/>
          <w:szCs w:val="20"/>
        </w:rPr>
        <w:t>are not interested in</w:t>
      </w:r>
      <w:r w:rsidR="00886C23" w:rsidRPr="008A2991">
        <w:rPr>
          <w:rFonts w:ascii="Times New Roman" w:hAnsi="Times New Roman" w:cs="Times New Roman"/>
          <w:sz w:val="20"/>
          <w:szCs w:val="20"/>
        </w:rPr>
        <w:t xml:space="preserve"> add</w:t>
      </w:r>
      <w:r w:rsidR="00F4308C" w:rsidRPr="008A2991">
        <w:rPr>
          <w:rFonts w:ascii="Times New Roman" w:hAnsi="Times New Roman" w:cs="Times New Roman"/>
          <w:sz w:val="20"/>
          <w:szCs w:val="20"/>
        </w:rPr>
        <w:t>ing to</w:t>
      </w:r>
      <w:r w:rsidR="00886C23" w:rsidRPr="008A2991">
        <w:rPr>
          <w:rFonts w:ascii="Times New Roman" w:hAnsi="Times New Roman" w:cs="Times New Roman"/>
          <w:sz w:val="20"/>
          <w:szCs w:val="20"/>
        </w:rPr>
        <w:t xml:space="preserve"> their </w:t>
      </w:r>
      <w:r w:rsidRPr="008A2991">
        <w:rPr>
          <w:rFonts w:ascii="Times New Roman" w:hAnsi="Times New Roman" w:cs="Times New Roman"/>
          <w:sz w:val="20"/>
          <w:szCs w:val="20"/>
        </w:rPr>
        <w:t xml:space="preserve">problems </w:t>
      </w:r>
      <w:r w:rsidR="00886C23" w:rsidRPr="008A2991">
        <w:rPr>
          <w:rFonts w:ascii="Times New Roman" w:hAnsi="Times New Roman" w:cs="Times New Roman"/>
          <w:sz w:val="20"/>
          <w:szCs w:val="20"/>
        </w:rPr>
        <w:t xml:space="preserve">by transferring money from physical accounts to digital accounts. </w:t>
      </w:r>
      <w:r w:rsidR="00F4308C" w:rsidRPr="008A2991">
        <w:rPr>
          <w:rFonts w:ascii="Times New Roman" w:hAnsi="Times New Roman" w:cs="Times New Roman"/>
          <w:sz w:val="20"/>
          <w:szCs w:val="20"/>
        </w:rPr>
        <w:t>Ultimately,</w:t>
      </w:r>
      <w:r w:rsidR="00886C23" w:rsidRPr="008A2991">
        <w:rPr>
          <w:rFonts w:ascii="Times New Roman" w:hAnsi="Times New Roman" w:cs="Times New Roman"/>
          <w:sz w:val="20"/>
          <w:szCs w:val="20"/>
        </w:rPr>
        <w:t xml:space="preserve"> age restriction does not help in the promotion of digital financial business.</w:t>
      </w:r>
    </w:p>
    <w:p w14:paraId="524B8193" w14:textId="1B0E774A" w:rsidR="000C7129" w:rsidRPr="008A2991" w:rsidRDefault="00886C23"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This study organizes the PCA methodology estimated weight relationship </w:t>
      </w:r>
      <w:r w:rsidR="00316F72" w:rsidRPr="008A2991">
        <w:rPr>
          <w:rFonts w:ascii="Times New Roman" w:hAnsi="Times New Roman" w:cs="Times New Roman"/>
          <w:sz w:val="20"/>
          <w:szCs w:val="20"/>
        </w:rPr>
        <w:t xml:space="preserve">in terms of </w:t>
      </w:r>
      <w:r w:rsidR="00335BEF" w:rsidRPr="008A2991">
        <w:rPr>
          <w:rFonts w:ascii="Times New Roman" w:hAnsi="Times New Roman" w:cs="Times New Roman"/>
          <w:sz w:val="20"/>
          <w:szCs w:val="20"/>
        </w:rPr>
        <w:t>E</w:t>
      </w:r>
      <w:r w:rsidRPr="008A2991">
        <w:rPr>
          <w:rFonts w:ascii="Times New Roman" w:hAnsi="Times New Roman" w:cs="Times New Roman"/>
          <w:sz w:val="20"/>
          <w:szCs w:val="20"/>
        </w:rPr>
        <w:t>qua</w:t>
      </w:r>
      <w:r w:rsidR="00335BEF" w:rsidRPr="008A2991">
        <w:rPr>
          <w:rFonts w:ascii="Times New Roman" w:hAnsi="Times New Roman" w:cs="Times New Roman"/>
          <w:sz w:val="20"/>
          <w:szCs w:val="20"/>
        </w:rPr>
        <w:t>tion</w:t>
      </w:r>
      <w:r w:rsidRPr="008A2991">
        <w:rPr>
          <w:rFonts w:ascii="Times New Roman" w:hAnsi="Times New Roman" w:cs="Times New Roman"/>
          <w:sz w:val="20"/>
          <w:szCs w:val="20"/>
        </w:rPr>
        <w:t xml:space="preserve"> (</w:t>
      </w:r>
      <w:r w:rsidR="00F44D08" w:rsidRPr="008A2991">
        <w:rPr>
          <w:rFonts w:ascii="Times New Roman" w:hAnsi="Times New Roman" w:cs="Times New Roman" w:hint="eastAsia"/>
          <w:sz w:val="20"/>
          <w:szCs w:val="20"/>
        </w:rPr>
        <w:t>5</w:t>
      </w:r>
      <w:r w:rsidRPr="008A2991">
        <w:rPr>
          <w:rFonts w:ascii="Times New Roman" w:hAnsi="Times New Roman" w:cs="Times New Roman"/>
          <w:sz w:val="20"/>
          <w:szCs w:val="20"/>
        </w:rPr>
        <w:t>)</w:t>
      </w:r>
      <w:r w:rsidR="000C7129" w:rsidRPr="008A2991">
        <w:rPr>
          <w:rFonts w:ascii="Times New Roman" w:hAnsi="Times New Roman" w:cs="Times New Roman"/>
          <w:sz w:val="20"/>
          <w:szCs w:val="20"/>
        </w:rPr>
        <w:t>:</w:t>
      </w:r>
    </w:p>
    <w:tbl>
      <w:tblPr>
        <w:tblStyle w:val="ac"/>
        <w:tblW w:w="8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73"/>
      </w:tblGrid>
      <w:tr w:rsidR="000C7129" w:rsidRPr="008A2991" w14:paraId="08C88E99" w14:textId="77777777" w:rsidTr="00BB5664">
        <w:tc>
          <w:tcPr>
            <w:tcW w:w="7655" w:type="dxa"/>
            <w:vAlign w:val="center"/>
          </w:tcPr>
          <w:p w14:paraId="35B6CDFA" w14:textId="14D1E610" w:rsidR="000C7129" w:rsidRPr="008A2991" w:rsidRDefault="00000000" w:rsidP="00EC6455">
            <w:pPr>
              <w:spacing w:before="120" w:after="120"/>
              <w:rPr>
                <w:rFonts w:ascii="Times New Roman" w:hAnsi="Times New Roman" w:cs="Times New Roman"/>
                <w:kern w:val="0"/>
                <w:sz w:val="20"/>
                <w:szCs w:val="20"/>
              </w:rPr>
            </w:pP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1</m:t>
                  </m:r>
                </m:sub>
              </m:sSub>
              <m:r>
                <m:rPr>
                  <m:sty m:val="p"/>
                </m:rPr>
                <w:rPr>
                  <w:rFonts w:ascii="Cambria Math" w:hAnsi="Cambria Math" w:cs="Times New Roman"/>
                  <w:kern w:val="0"/>
                  <w:sz w:val="20"/>
                  <w:szCs w:val="20"/>
                </w:rPr>
                <m:t>&gt;</m:t>
              </m:r>
            </m:oMath>
            <w:r w:rsidR="000C7129" w:rsidRPr="008A2991">
              <w:rPr>
                <w:rFonts w:ascii="Times New Roman" w:hAnsi="Times New Roman" w:cs="Times New Roman"/>
                <w:kern w:val="0"/>
                <w:sz w:val="20"/>
                <w:szCs w:val="20"/>
              </w:rPr>
              <w:t xml:space="preserv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m:rPr>
                      <m:sty m:val="p"/>
                    </m:rPr>
                    <w:rPr>
                      <w:rFonts w:ascii="Cambria Math" w:hAnsi="Cambria Math" w:cs="Times New Roman"/>
                      <w:kern w:val="0"/>
                      <w:sz w:val="20"/>
                      <w:szCs w:val="20"/>
                    </w:rPr>
                    <m:t>2</m:t>
                  </m:r>
                </m:sub>
              </m:sSub>
              <m:r>
                <m:rPr>
                  <m:sty m:val="p"/>
                </m:rPr>
                <w:rPr>
                  <w:rFonts w:ascii="Cambria Math" w:hAnsi="Cambria Math" w:cs="Times New Roman"/>
                  <w:kern w:val="0"/>
                  <w:sz w:val="20"/>
                  <w:szCs w:val="20"/>
                </w:rPr>
                <m:t>&gt;</m:t>
              </m:r>
            </m:oMath>
            <w:r w:rsidR="000C7129" w:rsidRPr="008A2991">
              <w:rPr>
                <w:rFonts w:ascii="Times New Roman" w:hAnsi="Times New Roman" w:cs="Times New Roman"/>
                <w:kern w:val="0"/>
                <w:sz w:val="20"/>
                <w:szCs w:val="20"/>
              </w:rPr>
              <w:t xml:space="preserv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4</m:t>
                  </m:r>
                </m:sub>
              </m:sSub>
              <m:r>
                <m:rPr>
                  <m:sty m:val="p"/>
                </m:rPr>
                <w:rPr>
                  <w:rFonts w:ascii="Cambria Math" w:hAnsi="Cambria Math" w:cs="Times New Roman"/>
                  <w:kern w:val="0"/>
                  <w:sz w:val="20"/>
                  <w:szCs w:val="20"/>
                </w:rPr>
                <m:t>&gt;</m:t>
              </m:r>
            </m:oMath>
            <w:r w:rsidR="000C7129" w:rsidRPr="008A2991">
              <w:rPr>
                <w:rFonts w:ascii="Times New Roman" w:hAnsi="Times New Roman" w:cs="Times New Roman"/>
                <w:kern w:val="0"/>
                <w:sz w:val="20"/>
                <w:szCs w:val="20"/>
              </w:rPr>
              <w:t xml:space="preserv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5</m:t>
                  </m:r>
                </m:sub>
              </m:sSub>
              <m:r>
                <m:rPr>
                  <m:sty m:val="p"/>
                </m:rPr>
                <w:rPr>
                  <w:rFonts w:ascii="Cambria Math" w:hAnsi="Cambria Math" w:cs="Times New Roman"/>
                  <w:kern w:val="0"/>
                  <w:sz w:val="20"/>
                  <w:szCs w:val="20"/>
                </w:rPr>
                <m:t xml:space="preserve"> &gt;</m:t>
              </m:r>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3</m:t>
                  </m:r>
                </m:sub>
              </m:sSub>
              <m:r>
                <m:rPr>
                  <m:sty m:val="p"/>
                </m:rPr>
                <w:rPr>
                  <w:rFonts w:ascii="Cambria Math" w:hAnsi="Cambria Math" w:cs="Times New Roman"/>
                  <w:kern w:val="0"/>
                  <w:sz w:val="20"/>
                  <w:szCs w:val="20"/>
                </w:rPr>
                <m:t>&gt;</m:t>
              </m:r>
            </m:oMath>
            <w:r w:rsidR="000C7129" w:rsidRPr="008A2991">
              <w:rPr>
                <w:rFonts w:ascii="Times New Roman" w:hAnsi="Times New Roman" w:cs="Times New Roman"/>
                <w:kern w:val="0"/>
                <w:sz w:val="20"/>
                <w:szCs w:val="20"/>
              </w:rPr>
              <w:t xml:space="preserv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6</m:t>
                  </m:r>
                </m:sub>
              </m:sSub>
              <m:r>
                <m:rPr>
                  <m:sty m:val="p"/>
                </m:rPr>
                <w:rPr>
                  <w:rFonts w:ascii="Cambria Math" w:hAnsi="Cambria Math" w:cs="Times New Roman"/>
                  <w:kern w:val="0"/>
                  <w:sz w:val="20"/>
                  <w:szCs w:val="20"/>
                </w:rPr>
                <m:t>&gt;</m:t>
              </m:r>
            </m:oMath>
            <w:r w:rsidR="000C7129" w:rsidRPr="008A2991">
              <w:rPr>
                <w:rFonts w:ascii="Times New Roman" w:hAnsi="Times New Roman" w:cs="Times New Roman"/>
                <w:kern w:val="0"/>
                <w:sz w:val="20"/>
                <w:szCs w:val="20"/>
              </w:rPr>
              <w:t xml:space="preserv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x</m:t>
                  </m:r>
                </m:e>
                <m:sub>
                  <m:r>
                    <m:rPr>
                      <m:sty m:val="p"/>
                    </m:rPr>
                    <w:rPr>
                      <w:rFonts w:ascii="Cambria Math" w:hAnsi="Cambria Math" w:cs="Times New Roman"/>
                      <w:kern w:val="0"/>
                      <w:sz w:val="20"/>
                      <w:szCs w:val="20"/>
                    </w:rPr>
                    <m:t>7.</m:t>
                  </m:r>
                </m:sub>
              </m:sSub>
            </m:oMath>
          </w:p>
        </w:tc>
        <w:tc>
          <w:tcPr>
            <w:tcW w:w="473" w:type="dxa"/>
            <w:vAlign w:val="center"/>
          </w:tcPr>
          <w:p w14:paraId="4108C709" w14:textId="30B4E34D" w:rsidR="000C7129" w:rsidRPr="008A2991" w:rsidRDefault="000C7129" w:rsidP="00EC6455">
            <w:pPr>
              <w:spacing w:before="120" w:after="120"/>
              <w:rPr>
                <w:rFonts w:ascii="Times New Roman" w:hAnsi="Times New Roman" w:cs="Times New Roman"/>
                <w:kern w:val="0"/>
                <w:sz w:val="20"/>
                <w:szCs w:val="20"/>
              </w:rPr>
            </w:pPr>
            <w:r w:rsidRPr="008A2991">
              <w:rPr>
                <w:rFonts w:ascii="Times New Roman" w:hAnsi="Times New Roman" w:cs="Times New Roman"/>
                <w:kern w:val="0"/>
                <w:sz w:val="20"/>
                <w:szCs w:val="20"/>
              </w:rPr>
              <w:t>(</w:t>
            </w:r>
            <w:r w:rsidR="00F44D08" w:rsidRPr="008A2991">
              <w:rPr>
                <w:rFonts w:ascii="Times New Roman" w:hAnsi="Times New Roman" w:cs="Times New Roman" w:hint="eastAsia"/>
                <w:kern w:val="0"/>
                <w:sz w:val="20"/>
                <w:szCs w:val="20"/>
              </w:rPr>
              <w:t>5</w:t>
            </w:r>
            <w:r w:rsidRPr="008A2991">
              <w:rPr>
                <w:rFonts w:ascii="Times New Roman" w:hAnsi="Times New Roman" w:cs="Times New Roman"/>
                <w:kern w:val="0"/>
                <w:sz w:val="20"/>
                <w:szCs w:val="20"/>
              </w:rPr>
              <w:t>)</w:t>
            </w:r>
          </w:p>
        </w:tc>
      </w:tr>
      <w:tr w:rsidR="00335BEF" w:rsidRPr="007F3F9C" w14:paraId="3DFF029A" w14:textId="77777777" w:rsidTr="00BB5664">
        <w:tc>
          <w:tcPr>
            <w:tcW w:w="7655" w:type="dxa"/>
            <w:vAlign w:val="center"/>
          </w:tcPr>
          <w:p w14:paraId="4851EBAA" w14:textId="77777777" w:rsidR="00335BEF" w:rsidRDefault="00335BEF" w:rsidP="00EC6455">
            <w:pPr>
              <w:spacing w:before="120" w:after="120"/>
              <w:rPr>
                <w:rFonts w:ascii="Times New Roman" w:eastAsia="新細明體" w:hAnsi="Times New Roman" w:cs="Times New Roman"/>
                <w:kern w:val="0"/>
                <w:sz w:val="22"/>
              </w:rPr>
            </w:pPr>
          </w:p>
        </w:tc>
        <w:tc>
          <w:tcPr>
            <w:tcW w:w="473" w:type="dxa"/>
            <w:vAlign w:val="center"/>
          </w:tcPr>
          <w:p w14:paraId="09CAA3EA" w14:textId="77777777" w:rsidR="00335BEF" w:rsidRPr="007F3F9C" w:rsidRDefault="00335BEF" w:rsidP="00EC6455">
            <w:pPr>
              <w:spacing w:before="120" w:after="120"/>
              <w:rPr>
                <w:rFonts w:ascii="Times New Roman" w:hAnsi="Times New Roman" w:cs="Times New Roman"/>
                <w:kern w:val="0"/>
                <w:sz w:val="22"/>
              </w:rPr>
            </w:pPr>
          </w:p>
        </w:tc>
      </w:tr>
    </w:tbl>
    <w:p w14:paraId="3F2234E8" w14:textId="77777777" w:rsidR="000A66E9" w:rsidRPr="008A2991" w:rsidRDefault="000A66E9" w:rsidP="00163DDA">
      <w:pPr>
        <w:pStyle w:val="Heading11"/>
        <w:numPr>
          <w:ilvl w:val="0"/>
          <w:numId w:val="1"/>
        </w:numPr>
        <w:spacing w:beforeLines="50" w:before="180" w:afterLines="50" w:after="180"/>
        <w:ind w:left="0" w:firstLine="0"/>
        <w:rPr>
          <w:rFonts w:ascii="Times New Roman" w:hAnsi="Times New Roman" w:cs="Times New Roman"/>
          <w:sz w:val="22"/>
          <w:szCs w:val="28"/>
        </w:rPr>
      </w:pPr>
      <w:r w:rsidRPr="008A2991">
        <w:rPr>
          <w:rFonts w:ascii="Times New Roman" w:hAnsi="Times New Roman" w:cs="Times New Roman"/>
          <w:sz w:val="22"/>
          <w:szCs w:val="28"/>
        </w:rPr>
        <w:t xml:space="preserve">Concluding Remarks </w:t>
      </w:r>
    </w:p>
    <w:p w14:paraId="621FAB82" w14:textId="6C633F59" w:rsidR="0020565F" w:rsidRPr="008A2991" w:rsidRDefault="00EC6455"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This research explore</w:t>
      </w:r>
      <w:r w:rsidR="00C549ED" w:rsidRPr="008A2991">
        <w:rPr>
          <w:rFonts w:ascii="Times New Roman" w:hAnsi="Times New Roman" w:cs="Times New Roman"/>
          <w:sz w:val="20"/>
          <w:szCs w:val="20"/>
        </w:rPr>
        <w:t>d</w:t>
      </w:r>
      <w:r w:rsidRPr="008A2991">
        <w:rPr>
          <w:rFonts w:ascii="Times New Roman" w:hAnsi="Times New Roman" w:cs="Times New Roman"/>
          <w:sz w:val="20"/>
          <w:szCs w:val="20"/>
        </w:rPr>
        <w:t xml:space="preserve"> the factors affecting the promotion of digital accounts. Specifically, we appl</w:t>
      </w:r>
      <w:r w:rsidR="00C549ED" w:rsidRPr="008A2991">
        <w:rPr>
          <w:rFonts w:ascii="Times New Roman" w:hAnsi="Times New Roman" w:cs="Times New Roman"/>
          <w:sz w:val="20"/>
          <w:szCs w:val="20"/>
        </w:rPr>
        <w:t>ied</w:t>
      </w:r>
      <w:r w:rsidRPr="008A2991">
        <w:rPr>
          <w:rFonts w:ascii="Times New Roman" w:hAnsi="Times New Roman" w:cs="Times New Roman"/>
          <w:sz w:val="20"/>
          <w:szCs w:val="20"/>
        </w:rPr>
        <w:t xml:space="preserve"> the </w:t>
      </w:r>
      <w:r w:rsidR="002D0C06" w:rsidRPr="008A2991">
        <w:rPr>
          <w:rFonts w:ascii="Times New Roman" w:hAnsi="Times New Roman" w:cs="Times New Roman"/>
          <w:sz w:val="20"/>
          <w:szCs w:val="20"/>
        </w:rPr>
        <w:t>PCA</w:t>
      </w:r>
      <w:r w:rsidRPr="008A2991">
        <w:rPr>
          <w:rFonts w:ascii="Times New Roman" w:hAnsi="Times New Roman" w:cs="Times New Roman"/>
          <w:sz w:val="20"/>
          <w:szCs w:val="20"/>
        </w:rPr>
        <w:t xml:space="preserve"> methodology to analyze the relationship between variables and weight relationships.</w:t>
      </w:r>
    </w:p>
    <w:p w14:paraId="3956AA51" w14:textId="5BEF3F14" w:rsidR="00976808" w:rsidRPr="008A2991" w:rsidRDefault="00976808"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this study, the PCA method highlight</w:t>
      </w:r>
      <w:r w:rsidR="00C549ED" w:rsidRPr="008A2991">
        <w:rPr>
          <w:rFonts w:ascii="Times New Roman" w:hAnsi="Times New Roman" w:cs="Times New Roman"/>
          <w:sz w:val="20"/>
          <w:szCs w:val="20"/>
        </w:rPr>
        <w:t>ed</w:t>
      </w:r>
      <w:r w:rsidRPr="008A2991">
        <w:rPr>
          <w:rFonts w:ascii="Times New Roman" w:hAnsi="Times New Roman" w:cs="Times New Roman"/>
          <w:sz w:val="20"/>
          <w:szCs w:val="20"/>
        </w:rPr>
        <w:t xml:space="preserve"> that cards in force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1</m:t>
            </m:r>
          </m:sub>
        </m:sSub>
      </m:oMath>
      <w:r w:rsidRPr="008A2991">
        <w:rPr>
          <w:rFonts w:ascii="Times New Roman" w:hAnsi="Times New Roman" w:cs="Times New Roman"/>
          <w:sz w:val="20"/>
          <w:szCs w:val="20"/>
        </w:rPr>
        <w:t>), active cards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2</m:t>
            </m:r>
          </m:sub>
        </m:sSub>
      </m:oMath>
      <w:r w:rsidRPr="008A2991">
        <w:rPr>
          <w:rFonts w:ascii="Times New Roman" w:hAnsi="Times New Roman" w:cs="Times New Roman"/>
          <w:sz w:val="20"/>
          <w:szCs w:val="20"/>
        </w:rPr>
        <w:t>), number of free transfers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4</m:t>
            </m:r>
          </m:sub>
        </m:sSub>
      </m:oMath>
      <w:r w:rsidRPr="008A2991">
        <w:rPr>
          <w:rFonts w:ascii="Times New Roman" w:hAnsi="Times New Roman" w:cs="Times New Roman"/>
          <w:sz w:val="20"/>
          <w:szCs w:val="20"/>
        </w:rPr>
        <w:t>), and number of free withdrawals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5</m:t>
            </m:r>
          </m:sub>
        </m:sSub>
      </m:oMath>
      <w:r w:rsidRPr="008A2991">
        <w:rPr>
          <w:rFonts w:ascii="Times New Roman" w:hAnsi="Times New Roman" w:cs="Times New Roman"/>
          <w:sz w:val="20"/>
          <w:szCs w:val="20"/>
        </w:rPr>
        <w:t>) are strongly correlated with digital account promotion.</w:t>
      </w:r>
      <w:r w:rsidR="00C549ED" w:rsidRPr="008A2991">
        <w:rPr>
          <w:rFonts w:ascii="Times New Roman" w:hAnsi="Times New Roman" w:cs="Times New Roman"/>
          <w:sz w:val="20"/>
          <w:szCs w:val="20"/>
        </w:rPr>
        <w:t xml:space="preserve"> </w:t>
      </w:r>
      <w:r w:rsidR="0058724E" w:rsidRPr="008A2991">
        <w:rPr>
          <w:rFonts w:ascii="Times New Roman" w:hAnsi="Times New Roman" w:cs="Times New Roman"/>
          <w:sz w:val="20"/>
          <w:szCs w:val="20"/>
        </w:rPr>
        <w:lastRenderedPageBreak/>
        <w:t>B</w:t>
      </w:r>
      <w:r w:rsidRPr="008A2991">
        <w:rPr>
          <w:rFonts w:ascii="Times New Roman" w:hAnsi="Times New Roman" w:cs="Times New Roman"/>
          <w:sz w:val="20"/>
          <w:szCs w:val="20"/>
        </w:rPr>
        <w:t>anks use existing credit cards to promote digital accounts, thereby increasing the number of digital accounts opened. The number of free transfers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4</m:t>
            </m:r>
          </m:sub>
        </m:sSub>
      </m:oMath>
      <w:r w:rsidRPr="008A2991">
        <w:rPr>
          <w:rFonts w:ascii="Times New Roman" w:hAnsi="Times New Roman" w:cs="Times New Roman"/>
          <w:sz w:val="20"/>
          <w:szCs w:val="20"/>
        </w:rPr>
        <w:t xml:space="preserve">) </w:t>
      </w:r>
      <w:r w:rsidR="00734EF7" w:rsidRPr="008A2991">
        <w:rPr>
          <w:rFonts w:ascii="Times New Roman" w:hAnsi="Times New Roman" w:cs="Times New Roman"/>
          <w:sz w:val="20"/>
          <w:szCs w:val="20"/>
        </w:rPr>
        <w:t xml:space="preserve">also </w:t>
      </w:r>
      <w:r w:rsidRPr="008A2991">
        <w:rPr>
          <w:rFonts w:ascii="Times New Roman" w:hAnsi="Times New Roman" w:cs="Times New Roman"/>
          <w:sz w:val="20"/>
          <w:szCs w:val="20"/>
        </w:rPr>
        <w:t>affects the development of digital banking in Taiwan,</w:t>
      </w:r>
      <w:r w:rsidR="00734EF7" w:rsidRPr="008A2991">
        <w:rPr>
          <w:rFonts w:ascii="Times New Roman" w:hAnsi="Times New Roman" w:cs="Times New Roman"/>
          <w:sz w:val="20"/>
          <w:szCs w:val="20"/>
        </w:rPr>
        <w:t xml:space="preserve"> as it may lead to reduced</w:t>
      </w:r>
      <w:r w:rsidRPr="008A2991">
        <w:rPr>
          <w:rFonts w:ascii="Times New Roman" w:hAnsi="Times New Roman" w:cs="Times New Roman"/>
          <w:sz w:val="20"/>
          <w:szCs w:val="20"/>
        </w:rPr>
        <w:t xml:space="preserve"> handling fees. Moreover, the number of free cash withdrawals </w:t>
      </w:r>
      <w:r w:rsidR="0058724E" w:rsidRPr="008A2991">
        <w:rPr>
          <w:rFonts w:ascii="Times New Roman" w:hAnsi="Times New Roman" w:cs="Times New Roman"/>
          <w:sz w:val="20"/>
          <w:szCs w:val="20"/>
        </w:rPr>
        <w:t>(</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5</m:t>
            </m:r>
          </m:sub>
        </m:sSub>
      </m:oMath>
      <w:r w:rsidRPr="008A2991">
        <w:rPr>
          <w:rFonts w:ascii="Times New Roman" w:hAnsi="Times New Roman" w:cs="Times New Roman"/>
          <w:sz w:val="20"/>
          <w:szCs w:val="20"/>
        </w:rPr>
        <w:t>) has a strong relationship with digital account promotion</w:t>
      </w:r>
      <w:r w:rsidR="00734EF7" w:rsidRPr="008A2991">
        <w:rPr>
          <w:rFonts w:ascii="Times New Roman" w:hAnsi="Times New Roman" w:cs="Times New Roman"/>
          <w:sz w:val="20"/>
          <w:szCs w:val="20"/>
        </w:rPr>
        <w:t xml:space="preserve"> since i</w:t>
      </w:r>
      <w:r w:rsidRPr="008A2991">
        <w:rPr>
          <w:rFonts w:ascii="Times New Roman" w:hAnsi="Times New Roman" w:cs="Times New Roman"/>
          <w:sz w:val="20"/>
          <w:szCs w:val="20"/>
        </w:rPr>
        <w:t>ndividuals can use ATMs to withdraw money whenever they need cash. However, physical accounts have processing fees, while digital accounts do not</w:t>
      </w:r>
      <w:r w:rsidR="0058724E" w:rsidRPr="008A2991">
        <w:rPr>
          <w:rFonts w:ascii="Times New Roman" w:hAnsi="Times New Roman" w:cs="Times New Roman"/>
          <w:sz w:val="20"/>
          <w:szCs w:val="20"/>
        </w:rPr>
        <w:t>.</w:t>
      </w:r>
    </w:p>
    <w:p w14:paraId="4CD0BE11" w14:textId="54CC9373" w:rsidR="00976808" w:rsidRPr="008A2991" w:rsidRDefault="00976808"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In contrast, the interest rate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3</m:t>
            </m:r>
          </m:sub>
        </m:sSub>
      </m:oMath>
      <w:r w:rsidRPr="008A2991">
        <w:rPr>
          <w:rFonts w:ascii="Times New Roman" w:hAnsi="Times New Roman" w:cs="Times New Roman"/>
          <w:sz w:val="20"/>
          <w:szCs w:val="20"/>
        </w:rPr>
        <w:t>), account deposit limit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6</m:t>
            </m:r>
          </m:sub>
        </m:sSub>
      </m:oMath>
      <w:r w:rsidRPr="008A2991">
        <w:rPr>
          <w:rFonts w:ascii="Times New Roman" w:hAnsi="Times New Roman" w:cs="Times New Roman"/>
          <w:sz w:val="20"/>
          <w:szCs w:val="20"/>
        </w:rPr>
        <w:t>), and account</w:t>
      </w:r>
      <w:r w:rsidRPr="008A2991">
        <w:rPr>
          <w:rFonts w:ascii="Times New Roman" w:hAnsi="Times New Roman" w:cs="Times New Roman"/>
          <w:sz w:val="20"/>
          <w:szCs w:val="20"/>
        </w:rPr>
        <w:noBreakHyphen/>
        <w:t>opening age limit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7</m:t>
            </m:r>
          </m:sub>
        </m:sSub>
      </m:oMath>
      <w:r w:rsidRPr="008A2991">
        <w:rPr>
          <w:rFonts w:ascii="Times New Roman" w:hAnsi="Times New Roman" w:cs="Times New Roman"/>
          <w:sz w:val="20"/>
          <w:szCs w:val="20"/>
        </w:rPr>
        <w:t xml:space="preserve">) do not significantly affect the promotion of digital accounts. Research shows that the interest obtained from digital accounts is higher than that obtained from traditional banks, which often have no limits </w:t>
      </w:r>
      <w:r w:rsidR="0058724E" w:rsidRPr="008A2991">
        <w:rPr>
          <w:rFonts w:ascii="Times New Roman" w:hAnsi="Times New Roman" w:cs="Times New Roman"/>
          <w:sz w:val="20"/>
          <w:szCs w:val="20"/>
        </w:rPr>
        <w:t xml:space="preserve">or </w:t>
      </w:r>
      <w:r w:rsidRPr="008A2991">
        <w:rPr>
          <w:rFonts w:ascii="Times New Roman" w:hAnsi="Times New Roman" w:cs="Times New Roman"/>
          <w:sz w:val="20"/>
          <w:szCs w:val="20"/>
        </w:rPr>
        <w:t xml:space="preserve">interest. However, while traditional banks have deposit limits, there is no significant difference in the interest rates between digital and traditional banks. </w:t>
      </w:r>
      <w:r w:rsidR="0058724E" w:rsidRPr="008A2991">
        <w:rPr>
          <w:rFonts w:ascii="Times New Roman" w:hAnsi="Times New Roman" w:cs="Times New Roman"/>
          <w:sz w:val="20"/>
          <w:szCs w:val="20"/>
        </w:rPr>
        <w:t>In a</w:t>
      </w:r>
      <w:r w:rsidRPr="008A2991">
        <w:rPr>
          <w:rFonts w:ascii="Times New Roman" w:hAnsi="Times New Roman" w:cs="Times New Roman"/>
          <w:sz w:val="20"/>
          <w:szCs w:val="20"/>
        </w:rPr>
        <w:t xml:space="preserve">ddition, </w:t>
      </w:r>
      <w:r w:rsidR="0058724E" w:rsidRPr="008A2991">
        <w:rPr>
          <w:rFonts w:ascii="Times New Roman" w:hAnsi="Times New Roman" w:cs="Times New Roman"/>
          <w:sz w:val="20"/>
          <w:szCs w:val="20"/>
        </w:rPr>
        <w:t xml:space="preserve">the </w:t>
      </w:r>
      <w:r w:rsidRPr="008A2991">
        <w:rPr>
          <w:rFonts w:ascii="Times New Roman" w:hAnsi="Times New Roman" w:cs="Times New Roman"/>
          <w:sz w:val="20"/>
          <w:szCs w:val="20"/>
        </w:rPr>
        <w:t>account-opening age does not affect customers’ willingness to open an account.</w:t>
      </w:r>
    </w:p>
    <w:p w14:paraId="7EE5DACA" w14:textId="70EEE995" w:rsidR="00FF5618" w:rsidRPr="008A2991" w:rsidRDefault="00FF5618" w:rsidP="00886C23">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 xml:space="preserve">Thus, </w:t>
      </w:r>
      <w:r w:rsidR="0058724E" w:rsidRPr="008A2991">
        <w:rPr>
          <w:rFonts w:ascii="Times New Roman" w:hAnsi="Times New Roman" w:cs="Times New Roman"/>
          <w:sz w:val="20"/>
          <w:szCs w:val="20"/>
        </w:rPr>
        <w:t xml:space="preserve">it </w:t>
      </w:r>
      <w:r w:rsidRPr="008A2991">
        <w:rPr>
          <w:rFonts w:ascii="Times New Roman" w:hAnsi="Times New Roman" w:cs="Times New Roman"/>
          <w:sz w:val="20"/>
          <w:szCs w:val="20"/>
        </w:rPr>
        <w:t xml:space="preserve">can </w:t>
      </w:r>
      <w:r w:rsidR="0058724E" w:rsidRPr="008A2991">
        <w:rPr>
          <w:rFonts w:ascii="Times New Roman" w:hAnsi="Times New Roman" w:cs="Times New Roman"/>
          <w:sz w:val="20"/>
          <w:szCs w:val="20"/>
        </w:rPr>
        <w:t xml:space="preserve">be </w:t>
      </w:r>
      <w:r w:rsidRPr="008A2991">
        <w:rPr>
          <w:rFonts w:ascii="Times New Roman" w:hAnsi="Times New Roman" w:cs="Times New Roman"/>
          <w:sz w:val="20"/>
          <w:szCs w:val="20"/>
        </w:rPr>
        <w:t>conclude</w:t>
      </w:r>
      <w:r w:rsidR="0058724E" w:rsidRPr="008A2991">
        <w:rPr>
          <w:rFonts w:ascii="Times New Roman" w:hAnsi="Times New Roman" w:cs="Times New Roman"/>
          <w:sz w:val="20"/>
          <w:szCs w:val="20"/>
        </w:rPr>
        <w:t>d</w:t>
      </w:r>
      <w:r w:rsidRPr="008A2991">
        <w:rPr>
          <w:rFonts w:ascii="Times New Roman" w:hAnsi="Times New Roman" w:cs="Times New Roman"/>
          <w:sz w:val="20"/>
          <w:szCs w:val="20"/>
        </w:rPr>
        <w:t xml:space="preserve"> that if digital banks seek to promote digital accounts, they must utilize existing credit card users. Moreover, digital banks must pay attention to lowering fees and increasing the number of free transfers, thereby allowing customers to save on handling fees, </w:t>
      </w:r>
      <w:r w:rsidR="0058724E" w:rsidRPr="008A2991">
        <w:rPr>
          <w:rFonts w:ascii="Times New Roman" w:hAnsi="Times New Roman" w:cs="Times New Roman"/>
          <w:sz w:val="20"/>
          <w:szCs w:val="20"/>
        </w:rPr>
        <w:t>typically</w:t>
      </w:r>
      <w:r w:rsidR="00D900CD" w:rsidRPr="008A2991">
        <w:rPr>
          <w:rFonts w:ascii="Times New Roman" w:hAnsi="Times New Roman" w:cs="Times New Roman"/>
          <w:sz w:val="20"/>
          <w:szCs w:val="20"/>
        </w:rPr>
        <w:t xml:space="preserve"> associated with</w:t>
      </w:r>
      <w:r w:rsidRPr="008A2991">
        <w:rPr>
          <w:rFonts w:ascii="Times New Roman" w:hAnsi="Times New Roman" w:cs="Times New Roman"/>
          <w:sz w:val="20"/>
          <w:szCs w:val="20"/>
        </w:rPr>
        <w:t xml:space="preserve"> transfers or withdrawals. </w:t>
      </w:r>
      <w:r w:rsidR="00D900CD" w:rsidRPr="008A2991">
        <w:rPr>
          <w:rFonts w:ascii="Times New Roman" w:hAnsi="Times New Roman" w:cs="Times New Roman"/>
          <w:sz w:val="20"/>
          <w:szCs w:val="20"/>
        </w:rPr>
        <w:t>A</w:t>
      </w:r>
      <w:r w:rsidRPr="008A2991">
        <w:rPr>
          <w:rFonts w:ascii="Times New Roman" w:hAnsi="Times New Roman" w:cs="Times New Roman"/>
          <w:sz w:val="20"/>
          <w:szCs w:val="20"/>
        </w:rPr>
        <w:t xml:space="preserve"> digital account is free to use, </w:t>
      </w:r>
      <w:r w:rsidR="00D900CD" w:rsidRPr="008A2991">
        <w:rPr>
          <w:rFonts w:ascii="Times New Roman" w:hAnsi="Times New Roman" w:cs="Times New Roman"/>
          <w:sz w:val="20"/>
          <w:szCs w:val="20"/>
        </w:rPr>
        <w:t>which is</w:t>
      </w:r>
      <w:r w:rsidRPr="008A2991">
        <w:rPr>
          <w:rFonts w:ascii="Times New Roman" w:hAnsi="Times New Roman" w:cs="Times New Roman"/>
          <w:sz w:val="20"/>
          <w:szCs w:val="20"/>
        </w:rPr>
        <w:t xml:space="preserve"> attract</w:t>
      </w:r>
      <w:r w:rsidR="00D900CD" w:rsidRPr="008A2991">
        <w:rPr>
          <w:rFonts w:ascii="Times New Roman" w:hAnsi="Times New Roman" w:cs="Times New Roman"/>
          <w:sz w:val="20"/>
          <w:szCs w:val="20"/>
        </w:rPr>
        <w:t>ive to</w:t>
      </w:r>
      <w:r w:rsidRPr="008A2991">
        <w:rPr>
          <w:rFonts w:ascii="Times New Roman" w:hAnsi="Times New Roman" w:cs="Times New Roman"/>
          <w:sz w:val="20"/>
          <w:szCs w:val="20"/>
        </w:rPr>
        <w:t xml:space="preserve"> </w:t>
      </w:r>
      <w:r w:rsidR="0058724E" w:rsidRPr="008A2991">
        <w:rPr>
          <w:rFonts w:ascii="Times New Roman" w:hAnsi="Times New Roman" w:cs="Times New Roman"/>
          <w:sz w:val="20"/>
          <w:szCs w:val="20"/>
        </w:rPr>
        <w:t>anyone</w:t>
      </w:r>
      <w:r w:rsidRPr="008A2991">
        <w:rPr>
          <w:rFonts w:ascii="Times New Roman" w:hAnsi="Times New Roman" w:cs="Times New Roman"/>
          <w:sz w:val="20"/>
          <w:szCs w:val="20"/>
        </w:rPr>
        <w:t xml:space="preserve"> </w:t>
      </w:r>
      <w:r w:rsidR="00D900CD" w:rsidRPr="008A2991">
        <w:rPr>
          <w:rFonts w:ascii="Times New Roman" w:hAnsi="Times New Roman" w:cs="Times New Roman"/>
          <w:sz w:val="20"/>
          <w:szCs w:val="20"/>
        </w:rPr>
        <w:t>interested in</w:t>
      </w:r>
      <w:r w:rsidRPr="008A2991">
        <w:rPr>
          <w:rFonts w:ascii="Times New Roman" w:hAnsi="Times New Roman" w:cs="Times New Roman"/>
          <w:sz w:val="20"/>
          <w:szCs w:val="20"/>
        </w:rPr>
        <w:t xml:space="preserve"> ope</w:t>
      </w:r>
      <w:r w:rsidR="00D900CD" w:rsidRPr="008A2991">
        <w:rPr>
          <w:rFonts w:ascii="Times New Roman" w:hAnsi="Times New Roman" w:cs="Times New Roman"/>
          <w:sz w:val="20"/>
          <w:szCs w:val="20"/>
        </w:rPr>
        <w:t>ning one</w:t>
      </w:r>
      <w:r w:rsidRPr="008A2991">
        <w:rPr>
          <w:rFonts w:ascii="Times New Roman" w:hAnsi="Times New Roman" w:cs="Times New Roman"/>
          <w:sz w:val="20"/>
          <w:szCs w:val="20"/>
        </w:rPr>
        <w:t>. However, other factors will not influence the promotion of bank digital account business.</w:t>
      </w:r>
    </w:p>
    <w:p w14:paraId="1D363CD0" w14:textId="1883FBA8" w:rsidR="00B55D7A" w:rsidRPr="008A2991" w:rsidRDefault="00E711E0" w:rsidP="00CC618D">
      <w:pPr>
        <w:spacing w:beforeLines="50" w:before="180" w:afterLines="50" w:after="180"/>
        <w:ind w:firstLineChars="200" w:firstLine="400"/>
        <w:jc w:val="both"/>
        <w:rPr>
          <w:rFonts w:ascii="Times New Roman" w:hAnsi="Times New Roman" w:cs="Times New Roman"/>
          <w:sz w:val="20"/>
          <w:szCs w:val="20"/>
        </w:rPr>
      </w:pPr>
      <w:r w:rsidRPr="008A2991">
        <w:rPr>
          <w:rFonts w:ascii="Times New Roman" w:hAnsi="Times New Roman" w:cs="Times New Roman"/>
          <w:sz w:val="20"/>
          <w:szCs w:val="20"/>
        </w:rPr>
        <w:t>Final</w:t>
      </w:r>
      <w:r w:rsidR="00FF5618" w:rsidRPr="008A2991">
        <w:rPr>
          <w:rFonts w:ascii="Times New Roman" w:hAnsi="Times New Roman" w:cs="Times New Roman"/>
          <w:sz w:val="20"/>
          <w:szCs w:val="20"/>
        </w:rPr>
        <w:t>ly, the conclusions and recommendations presented here are based on the models constructed, sample data collected, and research methodologies employed in this study. Hence, the current situation and changes in Taiwan’s digital banking environment must be considered, and any application of these findings must be further tailored to yield more accurate conclusions.</w:t>
      </w:r>
    </w:p>
    <w:p w14:paraId="4983D850" w14:textId="77777777" w:rsidR="007B40FD" w:rsidRDefault="007B40FD">
      <w:pPr>
        <w:widowControl/>
        <w:rPr>
          <w:rFonts w:ascii="Times New Roman" w:eastAsia="Microsoft YaHei" w:hAnsi="Times New Roman" w:cs="Times New Roman"/>
          <w:b/>
          <w:bCs/>
          <w:kern w:val="0"/>
          <w:szCs w:val="32"/>
          <w:lang w:eastAsia="en-US" w:bidi="en-US"/>
        </w:rPr>
      </w:pPr>
      <w:r>
        <w:rPr>
          <w:rFonts w:ascii="Times New Roman" w:hAnsi="Times New Roman" w:cs="Times New Roman"/>
        </w:rPr>
        <w:br w:type="page"/>
      </w:r>
    </w:p>
    <w:p w14:paraId="44C7BB73" w14:textId="5ADF7477" w:rsidR="00970C1B" w:rsidRPr="008A2991" w:rsidRDefault="00B60A1E" w:rsidP="008A2991">
      <w:pPr>
        <w:pStyle w:val="Heading11"/>
        <w:spacing w:beforeLines="50" w:before="180" w:afterLines="50" w:after="180"/>
        <w:rPr>
          <w:rFonts w:ascii="Times New Roman" w:hAnsi="Times New Roman" w:cs="Times New Roman"/>
          <w:sz w:val="22"/>
          <w:szCs w:val="28"/>
          <w:lang w:val="es-CL"/>
        </w:rPr>
      </w:pPr>
      <w:r w:rsidRPr="008A2991">
        <w:rPr>
          <w:rFonts w:ascii="Times New Roman" w:hAnsi="Times New Roman" w:cs="Times New Roman"/>
          <w:sz w:val="22"/>
          <w:szCs w:val="28"/>
          <w:lang w:val="es-CL"/>
        </w:rPr>
        <w:lastRenderedPageBreak/>
        <w:t>References</w:t>
      </w:r>
    </w:p>
    <w:p w14:paraId="3E3B2237" w14:textId="590DFD88" w:rsidR="00093A12" w:rsidRPr="001F16AF" w:rsidRDefault="00093A12" w:rsidP="001F16AF">
      <w:pPr>
        <w:pStyle w:val="aa"/>
        <w:numPr>
          <w:ilvl w:val="0"/>
          <w:numId w:val="11"/>
        </w:numPr>
        <w:spacing w:beforeLines="50" w:before="180" w:afterLines="50" w:after="180"/>
        <w:ind w:leftChars="0"/>
        <w:jc w:val="both"/>
        <w:rPr>
          <w:rFonts w:ascii="Times New Roman" w:hAnsi="Times New Roman" w:cs="Times New Roman"/>
          <w:sz w:val="20"/>
          <w:szCs w:val="20"/>
        </w:rPr>
      </w:pPr>
      <w:bookmarkStart w:id="13" w:name="_Hlk115535335"/>
      <w:r w:rsidRPr="001F16AF">
        <w:rPr>
          <w:rFonts w:ascii="Times New Roman" w:hAnsi="Times New Roman" w:cs="Times New Roman"/>
          <w:sz w:val="20"/>
          <w:szCs w:val="20"/>
          <w:lang w:val="es-CL"/>
        </w:rPr>
        <w:t>Al</w:t>
      </w:r>
      <w:r w:rsidR="00B22011" w:rsidRPr="001F16AF">
        <w:rPr>
          <w:rFonts w:ascii="Times New Roman" w:hAnsi="Times New Roman" w:cs="Times New Roman"/>
          <w:sz w:val="20"/>
          <w:szCs w:val="20"/>
          <w:lang w:val="es-CL"/>
        </w:rPr>
        <w:t>-</w:t>
      </w:r>
      <w:r w:rsidRPr="001F16AF">
        <w:rPr>
          <w:rFonts w:ascii="Times New Roman" w:hAnsi="Times New Roman" w:cs="Times New Roman"/>
          <w:sz w:val="20"/>
          <w:szCs w:val="20"/>
          <w:lang w:val="es-CL"/>
        </w:rPr>
        <w:t xml:space="preserve">Qeisi, K., </w:t>
      </w:r>
      <w:r w:rsidR="009300B4" w:rsidRPr="001F16AF">
        <w:rPr>
          <w:rFonts w:ascii="Times New Roman" w:hAnsi="Times New Roman" w:cs="Times New Roman"/>
          <w:sz w:val="20"/>
          <w:szCs w:val="20"/>
          <w:lang w:val="es-CL"/>
        </w:rPr>
        <w:t>&amp;</w:t>
      </w:r>
      <w:r w:rsidRPr="001F16AF">
        <w:rPr>
          <w:rFonts w:ascii="Times New Roman" w:hAnsi="Times New Roman" w:cs="Times New Roman"/>
          <w:sz w:val="20"/>
          <w:szCs w:val="20"/>
          <w:lang w:val="es-CL"/>
        </w:rPr>
        <w:t xml:space="preserve"> Hegazy, A. (2015). </w:t>
      </w:r>
      <w:r w:rsidRPr="001F16AF">
        <w:rPr>
          <w:rFonts w:ascii="Times New Roman" w:hAnsi="Times New Roman" w:cs="Times New Roman"/>
          <w:sz w:val="20"/>
          <w:szCs w:val="20"/>
        </w:rPr>
        <w:t>Consumer online behaviour: A perspective on Internet banking usage in three non</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western countries. </w:t>
      </w:r>
      <w:r w:rsidRPr="001F16AF">
        <w:rPr>
          <w:rFonts w:ascii="Times New Roman" w:hAnsi="Times New Roman" w:cs="Times New Roman"/>
          <w:i/>
          <w:iCs/>
          <w:sz w:val="20"/>
          <w:szCs w:val="20"/>
        </w:rPr>
        <w:t xml:space="preserve">Procedia </w:t>
      </w:r>
      <w:r w:rsidR="00566290" w:rsidRPr="001F16AF">
        <w:rPr>
          <w:rFonts w:ascii="Times New Roman" w:hAnsi="Times New Roman" w:cs="Times New Roman"/>
          <w:i/>
          <w:iCs/>
          <w:sz w:val="20"/>
          <w:szCs w:val="20"/>
        </w:rPr>
        <w:t>E</w:t>
      </w:r>
      <w:r w:rsidRPr="001F16AF">
        <w:rPr>
          <w:rFonts w:ascii="Times New Roman" w:hAnsi="Times New Roman" w:cs="Times New Roman"/>
          <w:i/>
          <w:iCs/>
          <w:sz w:val="20"/>
          <w:szCs w:val="20"/>
        </w:rPr>
        <w:t xml:space="preserve">conomics and </w:t>
      </w:r>
      <w:r w:rsidR="00566290" w:rsidRPr="001F16AF">
        <w:rPr>
          <w:rFonts w:ascii="Times New Roman" w:hAnsi="Times New Roman" w:cs="Times New Roman"/>
          <w:i/>
          <w:iCs/>
          <w:sz w:val="20"/>
          <w:szCs w:val="20"/>
        </w:rPr>
        <w:t>F</w:t>
      </w:r>
      <w:r w:rsidRPr="001F16AF">
        <w:rPr>
          <w:rFonts w:ascii="Times New Roman" w:hAnsi="Times New Roman" w:cs="Times New Roman"/>
          <w:i/>
          <w:iCs/>
          <w:sz w:val="20"/>
          <w:szCs w:val="20"/>
        </w:rPr>
        <w:t>inance</w:t>
      </w:r>
      <w:r w:rsidRPr="001F16AF">
        <w:rPr>
          <w:rFonts w:ascii="Times New Roman" w:hAnsi="Times New Roman" w:cs="Times New Roman"/>
          <w:sz w:val="20"/>
          <w:szCs w:val="20"/>
        </w:rPr>
        <w:t>, 23, 386</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390.</w:t>
      </w:r>
    </w:p>
    <w:p w14:paraId="13563E75" w14:textId="5ECF267B" w:rsidR="0014136A" w:rsidRPr="001F16AF" w:rsidRDefault="006046F4"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Brauner, N., </w:t>
      </w:r>
      <w:r w:rsidR="009300B4" w:rsidRPr="001F16AF">
        <w:rPr>
          <w:rFonts w:ascii="Times New Roman" w:hAnsi="Times New Roman" w:cs="Times New Roman"/>
          <w:sz w:val="20"/>
          <w:szCs w:val="20"/>
        </w:rPr>
        <w:t>&amp;</w:t>
      </w:r>
      <w:r w:rsidRPr="001F16AF">
        <w:rPr>
          <w:rFonts w:ascii="Times New Roman" w:hAnsi="Times New Roman" w:cs="Times New Roman"/>
          <w:sz w:val="20"/>
          <w:szCs w:val="20"/>
        </w:rPr>
        <w:t xml:space="preserve"> Shacham, M. (2000)</w:t>
      </w:r>
      <w:bookmarkEnd w:id="13"/>
      <w:r w:rsidRPr="001F16AF">
        <w:rPr>
          <w:rFonts w:ascii="Times New Roman" w:hAnsi="Times New Roman" w:cs="Times New Roman"/>
          <w:sz w:val="20"/>
          <w:szCs w:val="20"/>
        </w:rPr>
        <w:t xml:space="preserve">. Considering precision of data in reduction of dimensionality and PCA Comput. </w:t>
      </w:r>
      <w:r w:rsidRPr="001F16AF">
        <w:rPr>
          <w:rFonts w:ascii="Times New Roman" w:hAnsi="Times New Roman" w:cs="Times New Roman"/>
          <w:i/>
          <w:iCs/>
          <w:sz w:val="20"/>
          <w:szCs w:val="20"/>
        </w:rPr>
        <w:t>Chem. Eng</w:t>
      </w:r>
      <w:r w:rsidRPr="001F16AF">
        <w:rPr>
          <w:rFonts w:ascii="Times New Roman" w:hAnsi="Times New Roman" w:cs="Times New Roman"/>
          <w:sz w:val="20"/>
          <w:szCs w:val="20"/>
        </w:rPr>
        <w:t>, 24(12),</w:t>
      </w:r>
      <w:r w:rsidR="004D1D77" w:rsidRPr="001F16AF">
        <w:rPr>
          <w:rFonts w:ascii="Times New Roman" w:hAnsi="Times New Roman" w:cs="Times New Roman"/>
          <w:sz w:val="20"/>
          <w:szCs w:val="20"/>
        </w:rPr>
        <w:t xml:space="preserve"> </w:t>
      </w:r>
      <w:r w:rsidRPr="001F16AF">
        <w:rPr>
          <w:rFonts w:ascii="Times New Roman" w:hAnsi="Times New Roman" w:cs="Times New Roman"/>
          <w:sz w:val="20"/>
          <w:szCs w:val="20"/>
        </w:rPr>
        <w:t>2603</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2611. </w:t>
      </w:r>
    </w:p>
    <w:p w14:paraId="76451491" w14:textId="4C0433AB" w:rsidR="00B13E3F" w:rsidRPr="001F16AF" w:rsidRDefault="00B13E3F"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Barquin, S., </w:t>
      </w:r>
      <w:r w:rsidR="00DA4DB2" w:rsidRPr="001F16AF">
        <w:rPr>
          <w:rFonts w:ascii="Times New Roman" w:hAnsi="Times New Roman" w:cs="Times New Roman"/>
          <w:sz w:val="20"/>
          <w:szCs w:val="20"/>
        </w:rPr>
        <w:t>&amp;</w:t>
      </w:r>
      <w:r w:rsidRPr="001F16AF">
        <w:rPr>
          <w:rFonts w:ascii="Times New Roman" w:hAnsi="Times New Roman" w:cs="Times New Roman"/>
          <w:sz w:val="20"/>
          <w:szCs w:val="20"/>
        </w:rPr>
        <w:t xml:space="preserve"> Hv, V. (2015). Digital </w:t>
      </w:r>
      <w:r w:rsidR="006C3C8C" w:rsidRPr="001F16AF">
        <w:rPr>
          <w:rFonts w:ascii="Times New Roman" w:hAnsi="Times New Roman" w:cs="Times New Roman"/>
          <w:sz w:val="20"/>
          <w:szCs w:val="20"/>
        </w:rPr>
        <w:t>b</w:t>
      </w:r>
      <w:r w:rsidRPr="001F16AF">
        <w:rPr>
          <w:rFonts w:ascii="Times New Roman" w:hAnsi="Times New Roman" w:cs="Times New Roman"/>
          <w:sz w:val="20"/>
          <w:szCs w:val="20"/>
        </w:rPr>
        <w:t xml:space="preserve">anking in </w:t>
      </w:r>
      <w:r w:rsidR="009300B4" w:rsidRPr="001F16AF">
        <w:rPr>
          <w:rFonts w:ascii="Times New Roman" w:hAnsi="Times New Roman" w:cs="Times New Roman"/>
          <w:sz w:val="20"/>
          <w:szCs w:val="20"/>
        </w:rPr>
        <w:t>Asia</w:t>
      </w:r>
      <w:r w:rsidRPr="001F16AF">
        <w:rPr>
          <w:rFonts w:ascii="Times New Roman" w:hAnsi="Times New Roman" w:cs="Times New Roman"/>
          <w:sz w:val="20"/>
          <w:szCs w:val="20"/>
        </w:rPr>
        <w:t xml:space="preserve">: What do consumers really want. </w:t>
      </w:r>
      <w:r w:rsidRPr="001F16AF">
        <w:rPr>
          <w:rFonts w:ascii="Times New Roman" w:hAnsi="Times New Roman" w:cs="Times New Roman"/>
          <w:i/>
          <w:iCs/>
          <w:sz w:val="20"/>
          <w:szCs w:val="20"/>
        </w:rPr>
        <w:t>McKinsey &amp; Company</w:t>
      </w:r>
      <w:r w:rsidRPr="001F16AF">
        <w:rPr>
          <w:rFonts w:ascii="Times New Roman" w:hAnsi="Times New Roman" w:cs="Times New Roman"/>
          <w:sz w:val="20"/>
          <w:szCs w:val="20"/>
        </w:rPr>
        <w:t>, 1</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12.</w:t>
      </w:r>
    </w:p>
    <w:p w14:paraId="11F2AC91" w14:textId="6CAC176A" w:rsidR="002476FF" w:rsidRPr="001F16AF" w:rsidRDefault="002476FF"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Chauhan, Y. (2018). How </w:t>
      </w:r>
      <w:r w:rsidR="00B22011" w:rsidRPr="001F16AF">
        <w:rPr>
          <w:rFonts w:ascii="Times New Roman" w:hAnsi="Times New Roman" w:cs="Times New Roman"/>
          <w:sz w:val="20"/>
          <w:szCs w:val="20"/>
        </w:rPr>
        <w:t>i</w:t>
      </w:r>
      <w:r w:rsidRPr="001F16AF">
        <w:rPr>
          <w:rFonts w:ascii="Times New Roman" w:hAnsi="Times New Roman" w:cs="Times New Roman"/>
          <w:sz w:val="20"/>
          <w:szCs w:val="20"/>
        </w:rPr>
        <w:t>mportant is digital banking. Tech funnel. https://www.techfunnel.com/fintech/how</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important</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is</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digital</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banking/</w:t>
      </w:r>
    </w:p>
    <w:p w14:paraId="6631FE34" w14:textId="435D2E21" w:rsidR="006046F4" w:rsidRPr="001F16AF" w:rsidRDefault="006046F4"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Ebringer, T., Thorne, P., and Zheng, Y. (2000). Parasitic authentication to protect your e</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wallet. </w:t>
      </w:r>
      <w:r w:rsidRPr="001F16AF">
        <w:rPr>
          <w:rFonts w:ascii="Times New Roman" w:hAnsi="Times New Roman" w:cs="Times New Roman"/>
          <w:i/>
          <w:iCs/>
          <w:sz w:val="20"/>
          <w:szCs w:val="20"/>
        </w:rPr>
        <w:t>Computer</w:t>
      </w:r>
      <w:r w:rsidRPr="001F16AF">
        <w:rPr>
          <w:rFonts w:ascii="Times New Roman" w:hAnsi="Times New Roman" w:cs="Times New Roman"/>
          <w:sz w:val="20"/>
          <w:szCs w:val="20"/>
        </w:rPr>
        <w:t>, 33(10), 54</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60.</w:t>
      </w:r>
    </w:p>
    <w:p w14:paraId="52B9CAD4" w14:textId="68BF78E9" w:rsidR="002476FF" w:rsidRPr="001F16AF" w:rsidRDefault="002476FF" w:rsidP="001F16AF">
      <w:pPr>
        <w:pStyle w:val="aa"/>
        <w:numPr>
          <w:ilvl w:val="0"/>
          <w:numId w:val="11"/>
        </w:numPr>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Fenu, G., </w:t>
      </w:r>
      <w:r w:rsidR="0055472A" w:rsidRPr="001F16AF">
        <w:rPr>
          <w:rFonts w:ascii="Times New Roman" w:hAnsi="Times New Roman" w:cs="Times New Roman"/>
          <w:sz w:val="20"/>
          <w:szCs w:val="20"/>
        </w:rPr>
        <w:t>&amp;</w:t>
      </w:r>
      <w:r w:rsidRPr="001F16AF">
        <w:rPr>
          <w:rFonts w:ascii="Times New Roman" w:hAnsi="Times New Roman" w:cs="Times New Roman"/>
          <w:sz w:val="20"/>
          <w:szCs w:val="20"/>
        </w:rPr>
        <w:t xml:space="preserve"> Pau, P. L. (2015). An analysis of features and tendencies in mobile banking apps. </w:t>
      </w:r>
      <w:r w:rsidRPr="001F16AF">
        <w:rPr>
          <w:rFonts w:ascii="Times New Roman" w:hAnsi="Times New Roman" w:cs="Times New Roman"/>
          <w:i/>
          <w:iCs/>
          <w:sz w:val="20"/>
          <w:szCs w:val="20"/>
        </w:rPr>
        <w:t>Procedia Computer Science</w:t>
      </w:r>
      <w:r w:rsidRPr="001F16AF">
        <w:rPr>
          <w:rFonts w:ascii="Times New Roman" w:hAnsi="Times New Roman" w:cs="Times New Roman"/>
          <w:sz w:val="20"/>
          <w:szCs w:val="20"/>
        </w:rPr>
        <w:t>, 56, 26</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33.</w:t>
      </w:r>
    </w:p>
    <w:p w14:paraId="4F45A931" w14:textId="77777777" w:rsidR="00D42C0E" w:rsidRPr="001F16AF" w:rsidRDefault="00D42C0E"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Financial Supervision and Administration Commission (2017). Banking information disclosure–digital deposit account business statistics information. </w:t>
      </w:r>
      <w:hyperlink r:id="rId12" w:history="1">
        <w:r w:rsidRPr="001F16AF">
          <w:rPr>
            <w:rStyle w:val="a9"/>
            <w:rFonts w:ascii="Times New Roman" w:hAnsi="Times New Roman" w:cs="Times New Roman"/>
            <w:color w:val="auto"/>
            <w:sz w:val="20"/>
            <w:szCs w:val="20"/>
            <w:u w:val="none"/>
          </w:rPr>
          <w:t>https://www.banking.gov.tw/ch/home.jsp?id=591&amp;parentpath=0,590&amp;mcustomize=multimessage_view.jsp&amp;dataserno=201911270001&amp;aplistdn=ou=disclosure,ou=multisite,ou=chinese,ou=ap_root,o=fsc,c=tw&amp;dtable=Disclosure</w:t>
        </w:r>
      </w:hyperlink>
    </w:p>
    <w:p w14:paraId="14238F0A" w14:textId="77777777" w:rsidR="00D42C0E" w:rsidRPr="001F16AF" w:rsidRDefault="00D42C0E"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Financial Supervision and Administration Commission (2018). Banking information disclosure–digital deposit account business statistics information. https://www.banking.gov.tw/ch/home.jsp?id=591&amp;parentpath=0,590&amp;mcustomize=multimessage_view.jsp&amp;dataserno=201911270001&amp;aplistdn=ou=disclosure,ou=multisite,ou=chinese,ou=ap_root,o=fsc,c=tw&amp;dtable=Disclosure</w:t>
      </w:r>
    </w:p>
    <w:p w14:paraId="026970B4" w14:textId="77777777" w:rsidR="00D42C0E" w:rsidRPr="001F16AF" w:rsidRDefault="00D42C0E"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Financial Supervision and Administration Commission (2019). Banking information disclosure–digital deposit account business statistics information. https://www.banking.gov.tw/ch/home.jsp?id=591&amp;parentpath=0,590&amp;mcustomize=multimessage_view.jsp&amp;dataserno=201911270001&amp;aplistdn=ou=disclosure,ou=multisite,ou=chinese,ou=ap_root,o=fsc,c=tw&amp;dtable=Disclosure</w:t>
      </w:r>
    </w:p>
    <w:p w14:paraId="338CB6F7" w14:textId="2B6AE68B" w:rsidR="0081481F" w:rsidRPr="001F16AF" w:rsidRDefault="0081481F"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Financial Supervision and Administration Commission (2020). Banking information disclosure</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digital deposit account business statistics information. https://www.banking.gov.tw/ch/home.jsp?id=591&amp;parentpath=0,590&amp;mcustomize=multimessage_view.jsp&amp;dataserno=201911270001&amp;aplistdn=ou=disclosure,ou=multisite,ou=chinese,ou=ap_root,o=fsc,c=tw&amp;dtable=Disclosure</w:t>
      </w:r>
    </w:p>
    <w:p w14:paraId="50EB5133" w14:textId="77777777" w:rsidR="00D42C0E" w:rsidRPr="001F16AF" w:rsidRDefault="00D42C0E"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lastRenderedPageBreak/>
        <w:t>Financial Supervision and Administration Commission (2016). Banking information disclosure–digital deposit account business statistics information. https://www.banking.gov.tw/ch/home.jsp?id=591&amp;parentpath=0,590&amp;mcustomize=multimessage_view.jsp&amp;dataserno=201911270001&amp;aplistdn=ou=disclosure,ou=multisite,ou=chinese,ou=ap_root,o=fsc,c=tw&amp;dtable=Disclosure</w:t>
      </w:r>
    </w:p>
    <w:p w14:paraId="63D75577" w14:textId="7DED6532" w:rsidR="0081481F" w:rsidRPr="001F16AF" w:rsidRDefault="0081481F"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Financial Supervision and Administration Commission (2020). Banking information disclosure</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digital deposit account business statistics information. https://www.banking.gov.tw/ch/home.jsp?id=591&amp;parentpath=0,590&amp;mcustomize=multimessage_view.jsp&amp;dataserno=201911270001&amp;aplistdn=ou=disclosure,ou=multisite,ou=chinese,ou=ap_root,o=fsc,c=tw&amp;dtable=Disclosure</w:t>
      </w:r>
    </w:p>
    <w:p w14:paraId="25CC3F19" w14:textId="73F7F686"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Hotelling, H. (1933). Analysis of a complex of statistical variables into principal components. </w:t>
      </w:r>
      <w:r w:rsidRPr="001F16AF">
        <w:rPr>
          <w:rFonts w:ascii="Times New Roman" w:hAnsi="Times New Roman" w:cs="Times New Roman"/>
          <w:i/>
          <w:iCs/>
          <w:sz w:val="20"/>
          <w:szCs w:val="20"/>
        </w:rPr>
        <w:t xml:space="preserve">Journal of </w:t>
      </w:r>
      <w:r w:rsidR="00566290" w:rsidRPr="001F16AF">
        <w:rPr>
          <w:rFonts w:ascii="Times New Roman" w:hAnsi="Times New Roman" w:cs="Times New Roman"/>
          <w:i/>
          <w:iCs/>
          <w:sz w:val="20"/>
          <w:szCs w:val="20"/>
        </w:rPr>
        <w:t>E</w:t>
      </w:r>
      <w:r w:rsidRPr="001F16AF">
        <w:rPr>
          <w:rFonts w:ascii="Times New Roman" w:hAnsi="Times New Roman" w:cs="Times New Roman"/>
          <w:i/>
          <w:iCs/>
          <w:sz w:val="20"/>
          <w:szCs w:val="20"/>
        </w:rPr>
        <w:t xml:space="preserve">ducational </w:t>
      </w:r>
      <w:r w:rsidR="00566290" w:rsidRPr="001F16AF">
        <w:rPr>
          <w:rFonts w:ascii="Times New Roman" w:hAnsi="Times New Roman" w:cs="Times New Roman"/>
          <w:i/>
          <w:iCs/>
          <w:sz w:val="20"/>
          <w:szCs w:val="20"/>
        </w:rPr>
        <w:t>P</w:t>
      </w:r>
      <w:r w:rsidRPr="001F16AF">
        <w:rPr>
          <w:rFonts w:ascii="Times New Roman" w:hAnsi="Times New Roman" w:cs="Times New Roman"/>
          <w:i/>
          <w:iCs/>
          <w:sz w:val="20"/>
          <w:szCs w:val="20"/>
        </w:rPr>
        <w:t>sychology</w:t>
      </w:r>
      <w:r w:rsidRPr="001F16AF">
        <w:rPr>
          <w:rFonts w:ascii="Times New Roman" w:hAnsi="Times New Roman" w:cs="Times New Roman"/>
          <w:sz w:val="20"/>
          <w:szCs w:val="20"/>
        </w:rPr>
        <w:t>, 24(6), 405</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417.</w:t>
      </w:r>
    </w:p>
    <w:p w14:paraId="4BD488F1" w14:textId="6EFCCFAD" w:rsidR="00924A31" w:rsidRPr="001F16AF" w:rsidRDefault="00924A31" w:rsidP="001F16AF">
      <w:pPr>
        <w:pStyle w:val="aa"/>
        <w:numPr>
          <w:ilvl w:val="0"/>
          <w:numId w:val="11"/>
        </w:numPr>
        <w:spacing w:beforeLines="50" w:before="180" w:afterLines="50" w:after="180"/>
        <w:ind w:leftChars="0"/>
        <w:jc w:val="both"/>
        <w:rPr>
          <w:rFonts w:ascii="Times New Roman" w:hAnsi="Times New Roman" w:cs="Times New Roman"/>
          <w:sz w:val="20"/>
          <w:szCs w:val="20"/>
        </w:rPr>
      </w:pPr>
      <w:bookmarkStart w:id="14" w:name="_Hlk116021190"/>
      <w:r w:rsidRPr="001F16AF">
        <w:rPr>
          <w:rFonts w:ascii="Times New Roman" w:hAnsi="Times New Roman" w:cs="Times New Roman"/>
          <w:sz w:val="20"/>
          <w:szCs w:val="20"/>
        </w:rPr>
        <w:t>Hussain, S., Khan, B. U. I., Anwar, F., &amp; Olanrewaju, R. F.</w:t>
      </w:r>
      <w:bookmarkEnd w:id="14"/>
      <w:r w:rsidRPr="001F16AF">
        <w:rPr>
          <w:rFonts w:ascii="Times New Roman" w:hAnsi="Times New Roman" w:cs="Times New Roman"/>
          <w:sz w:val="20"/>
          <w:szCs w:val="20"/>
        </w:rPr>
        <w:t xml:space="preserve"> (2018). Secure annihilation of out</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of</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band authorization for online transactions. </w:t>
      </w:r>
      <w:r w:rsidRPr="001F16AF">
        <w:rPr>
          <w:rFonts w:ascii="Times New Roman" w:hAnsi="Times New Roman" w:cs="Times New Roman"/>
          <w:i/>
          <w:iCs/>
          <w:sz w:val="20"/>
          <w:szCs w:val="20"/>
        </w:rPr>
        <w:t>Indian Journal of Science and Technology</w:t>
      </w:r>
      <w:r w:rsidRPr="001F16AF">
        <w:rPr>
          <w:rFonts w:ascii="Times New Roman" w:hAnsi="Times New Roman" w:cs="Times New Roman"/>
          <w:sz w:val="20"/>
          <w:szCs w:val="20"/>
        </w:rPr>
        <w:t>, 11(5), 1</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9.</w:t>
      </w:r>
    </w:p>
    <w:p w14:paraId="4001F2CB" w14:textId="73B80287"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Jolliffe, I. T., </w:t>
      </w:r>
      <w:r w:rsidR="0055472A" w:rsidRPr="001F16AF">
        <w:rPr>
          <w:rFonts w:ascii="Times New Roman" w:hAnsi="Times New Roman" w:cs="Times New Roman"/>
          <w:sz w:val="20"/>
          <w:szCs w:val="20"/>
        </w:rPr>
        <w:t>&amp;</w:t>
      </w:r>
      <w:r w:rsidRPr="001F16AF">
        <w:rPr>
          <w:rFonts w:ascii="Times New Roman" w:hAnsi="Times New Roman" w:cs="Times New Roman"/>
          <w:sz w:val="20"/>
          <w:szCs w:val="20"/>
        </w:rPr>
        <w:t xml:space="preserve"> Cadima, J. (2016). Principal component analysis: </w:t>
      </w:r>
      <w:r w:rsidR="00B22011" w:rsidRPr="001F16AF">
        <w:rPr>
          <w:rFonts w:ascii="Times New Roman" w:hAnsi="Times New Roman" w:cs="Times New Roman"/>
          <w:sz w:val="20"/>
          <w:szCs w:val="20"/>
        </w:rPr>
        <w:t>A</w:t>
      </w:r>
      <w:r w:rsidRPr="001F16AF">
        <w:rPr>
          <w:rFonts w:ascii="Times New Roman" w:hAnsi="Times New Roman" w:cs="Times New Roman"/>
          <w:sz w:val="20"/>
          <w:szCs w:val="20"/>
        </w:rPr>
        <w:t xml:space="preserve"> review and recent developments. </w:t>
      </w:r>
      <w:r w:rsidRPr="001F16AF">
        <w:rPr>
          <w:rFonts w:ascii="Times New Roman" w:hAnsi="Times New Roman" w:cs="Times New Roman"/>
          <w:i/>
          <w:iCs/>
          <w:sz w:val="20"/>
          <w:szCs w:val="20"/>
        </w:rPr>
        <w:t>Philosophical Transactions of the Royal Society A: Mathematical, Physical and Engineering Sciences</w:t>
      </w:r>
      <w:r w:rsidRPr="001F16AF">
        <w:rPr>
          <w:rFonts w:ascii="Times New Roman" w:hAnsi="Times New Roman" w:cs="Times New Roman"/>
          <w:sz w:val="20"/>
          <w:szCs w:val="20"/>
        </w:rPr>
        <w:t>, 374(2065), 20150202.</w:t>
      </w:r>
    </w:p>
    <w:p w14:paraId="09B5DDFF" w14:textId="5701C55D" w:rsidR="00924A31" w:rsidRPr="001F16AF" w:rsidRDefault="00924A31"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lang w:val="es-CL"/>
        </w:rPr>
        <w:t xml:space="preserve">Kaur, S. J., Ali, L., Hassan, M. K., &amp; Al Emran, M. (2021). </w:t>
      </w:r>
      <w:r w:rsidRPr="001F16AF">
        <w:rPr>
          <w:rFonts w:ascii="Times New Roman" w:hAnsi="Times New Roman" w:cs="Times New Roman"/>
          <w:sz w:val="20"/>
          <w:szCs w:val="20"/>
        </w:rPr>
        <w:t xml:space="preserve">Adoption of digital banking channels in an emerging economy: </w:t>
      </w:r>
      <w:r w:rsidR="00B22011" w:rsidRPr="001F16AF">
        <w:rPr>
          <w:rFonts w:ascii="Times New Roman" w:hAnsi="Times New Roman" w:cs="Times New Roman"/>
          <w:sz w:val="20"/>
          <w:szCs w:val="20"/>
        </w:rPr>
        <w:t>E</w:t>
      </w:r>
      <w:r w:rsidRPr="001F16AF">
        <w:rPr>
          <w:rFonts w:ascii="Times New Roman" w:hAnsi="Times New Roman" w:cs="Times New Roman"/>
          <w:sz w:val="20"/>
          <w:szCs w:val="20"/>
        </w:rPr>
        <w:t>xploring the role of in</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branch efforts. </w:t>
      </w:r>
      <w:r w:rsidRPr="001F16AF">
        <w:rPr>
          <w:rFonts w:ascii="Times New Roman" w:hAnsi="Times New Roman" w:cs="Times New Roman"/>
          <w:i/>
          <w:iCs/>
          <w:sz w:val="20"/>
          <w:szCs w:val="20"/>
        </w:rPr>
        <w:t>Journal of Financial Markets</w:t>
      </w:r>
      <w:r w:rsidRPr="001F16AF">
        <w:rPr>
          <w:rFonts w:ascii="Times New Roman" w:hAnsi="Times New Roman" w:cs="Times New Roman"/>
          <w:sz w:val="20"/>
          <w:szCs w:val="20"/>
        </w:rPr>
        <w:t xml:space="preserve">, 26(2), 107–121. </w:t>
      </w:r>
      <w:hyperlink r:id="rId13" w:history="1">
        <w:r w:rsidRPr="001F16AF">
          <w:rPr>
            <w:rStyle w:val="a9"/>
            <w:rFonts w:ascii="Times New Roman" w:hAnsi="Times New Roman" w:cs="Times New Roman"/>
            <w:color w:val="auto"/>
            <w:sz w:val="20"/>
            <w:szCs w:val="20"/>
            <w:u w:val="none"/>
          </w:rPr>
          <w:t>https://doi.org/10.1057/s41264</w:t>
        </w:r>
        <w:r w:rsidR="00B22011" w:rsidRPr="001F16AF">
          <w:rPr>
            <w:rStyle w:val="a9"/>
            <w:rFonts w:ascii="Times New Roman" w:hAnsi="Times New Roman" w:cs="Times New Roman"/>
            <w:color w:val="auto"/>
            <w:sz w:val="20"/>
            <w:szCs w:val="20"/>
            <w:u w:val="none"/>
          </w:rPr>
          <w:t>–</w:t>
        </w:r>
        <w:r w:rsidRPr="001F16AF">
          <w:rPr>
            <w:rStyle w:val="a9"/>
            <w:rFonts w:ascii="Times New Roman" w:hAnsi="Times New Roman" w:cs="Times New Roman"/>
            <w:color w:val="auto"/>
            <w:sz w:val="20"/>
            <w:szCs w:val="20"/>
            <w:u w:val="none"/>
          </w:rPr>
          <w:t>020</w:t>
        </w:r>
        <w:r w:rsidR="00B22011" w:rsidRPr="001F16AF">
          <w:rPr>
            <w:rStyle w:val="a9"/>
            <w:rFonts w:ascii="Times New Roman" w:hAnsi="Times New Roman" w:cs="Times New Roman"/>
            <w:color w:val="auto"/>
            <w:sz w:val="20"/>
            <w:szCs w:val="20"/>
            <w:u w:val="none"/>
          </w:rPr>
          <w:t>–</w:t>
        </w:r>
        <w:r w:rsidRPr="001F16AF">
          <w:rPr>
            <w:rStyle w:val="a9"/>
            <w:rFonts w:ascii="Times New Roman" w:hAnsi="Times New Roman" w:cs="Times New Roman"/>
            <w:color w:val="auto"/>
            <w:sz w:val="20"/>
            <w:szCs w:val="20"/>
            <w:u w:val="none"/>
          </w:rPr>
          <w:t>00082</w:t>
        </w:r>
        <w:r w:rsidR="00B22011" w:rsidRPr="001F16AF">
          <w:rPr>
            <w:rStyle w:val="a9"/>
            <w:rFonts w:ascii="Times New Roman" w:hAnsi="Times New Roman" w:cs="Times New Roman"/>
            <w:color w:val="auto"/>
            <w:sz w:val="20"/>
            <w:szCs w:val="20"/>
            <w:u w:val="none"/>
          </w:rPr>
          <w:t>–</w:t>
        </w:r>
        <w:r w:rsidRPr="001F16AF">
          <w:rPr>
            <w:rStyle w:val="a9"/>
            <w:rFonts w:ascii="Times New Roman" w:hAnsi="Times New Roman" w:cs="Times New Roman"/>
            <w:color w:val="auto"/>
            <w:sz w:val="20"/>
            <w:szCs w:val="20"/>
            <w:u w:val="none"/>
          </w:rPr>
          <w:t>w</w:t>
        </w:r>
      </w:hyperlink>
    </w:p>
    <w:p w14:paraId="5341F2DF" w14:textId="79FD6722"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Lee, K. C., </w:t>
      </w:r>
      <w:r w:rsidR="0055472A" w:rsidRPr="001F16AF">
        <w:rPr>
          <w:rFonts w:ascii="Times New Roman" w:hAnsi="Times New Roman" w:cs="Times New Roman"/>
          <w:sz w:val="20"/>
          <w:szCs w:val="20"/>
        </w:rPr>
        <w:t>&amp;</w:t>
      </w:r>
      <w:r w:rsidRPr="001F16AF">
        <w:rPr>
          <w:rFonts w:ascii="Times New Roman" w:hAnsi="Times New Roman" w:cs="Times New Roman"/>
          <w:sz w:val="20"/>
          <w:szCs w:val="20"/>
        </w:rPr>
        <w:t xml:space="preserve"> Chung, N. (2009). Understanding factors affecting trust in and satisfaction with mobile banking in Korea: A modified DeLone and McLean’s model perspective. </w:t>
      </w:r>
      <w:r w:rsidRPr="001F16AF">
        <w:rPr>
          <w:rFonts w:ascii="Times New Roman" w:hAnsi="Times New Roman" w:cs="Times New Roman"/>
          <w:i/>
          <w:iCs/>
          <w:sz w:val="20"/>
          <w:szCs w:val="20"/>
        </w:rPr>
        <w:t xml:space="preserve">Interacting </w:t>
      </w:r>
      <w:r w:rsidR="00566290" w:rsidRPr="001F16AF">
        <w:rPr>
          <w:rFonts w:ascii="Times New Roman" w:hAnsi="Times New Roman" w:cs="Times New Roman"/>
          <w:i/>
          <w:iCs/>
          <w:sz w:val="20"/>
          <w:szCs w:val="20"/>
        </w:rPr>
        <w:t>W</w:t>
      </w:r>
      <w:r w:rsidRPr="001F16AF">
        <w:rPr>
          <w:rFonts w:ascii="Times New Roman" w:hAnsi="Times New Roman" w:cs="Times New Roman"/>
          <w:i/>
          <w:iCs/>
          <w:sz w:val="20"/>
          <w:szCs w:val="20"/>
        </w:rPr>
        <w:t xml:space="preserve">ith </w:t>
      </w:r>
      <w:r w:rsidR="00566290" w:rsidRPr="001F16AF">
        <w:rPr>
          <w:rFonts w:ascii="Times New Roman" w:hAnsi="Times New Roman" w:cs="Times New Roman"/>
          <w:i/>
          <w:iCs/>
          <w:sz w:val="20"/>
          <w:szCs w:val="20"/>
        </w:rPr>
        <w:t>C</w:t>
      </w:r>
      <w:r w:rsidRPr="001F16AF">
        <w:rPr>
          <w:rFonts w:ascii="Times New Roman" w:hAnsi="Times New Roman" w:cs="Times New Roman"/>
          <w:i/>
          <w:iCs/>
          <w:sz w:val="20"/>
          <w:szCs w:val="20"/>
        </w:rPr>
        <w:t>omputers</w:t>
      </w:r>
      <w:r w:rsidRPr="001F16AF">
        <w:rPr>
          <w:rFonts w:ascii="Times New Roman" w:hAnsi="Times New Roman" w:cs="Times New Roman"/>
          <w:sz w:val="20"/>
          <w:szCs w:val="20"/>
        </w:rPr>
        <w:t>, 21(5), 385</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392.</w:t>
      </w:r>
    </w:p>
    <w:p w14:paraId="0786C39B" w14:textId="56F7E850"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Li, Y. F. Xie, M., </w:t>
      </w:r>
      <w:r w:rsidR="0055472A" w:rsidRPr="001F16AF">
        <w:rPr>
          <w:rFonts w:ascii="Times New Roman" w:hAnsi="Times New Roman" w:cs="Times New Roman"/>
          <w:sz w:val="20"/>
          <w:szCs w:val="20"/>
        </w:rPr>
        <w:t>&amp;</w:t>
      </w:r>
      <w:r w:rsidRPr="001F16AF">
        <w:rPr>
          <w:rFonts w:ascii="Times New Roman" w:hAnsi="Times New Roman" w:cs="Times New Roman"/>
          <w:sz w:val="20"/>
          <w:szCs w:val="20"/>
        </w:rPr>
        <w:t xml:space="preserve"> Goh, T. N. (2010). Adaptive ridge regression system for software cost estimating on multi</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collinear datasets. </w:t>
      </w:r>
      <w:r w:rsidRPr="001F16AF">
        <w:rPr>
          <w:rFonts w:ascii="Times New Roman" w:hAnsi="Times New Roman" w:cs="Times New Roman"/>
          <w:i/>
          <w:iCs/>
          <w:sz w:val="20"/>
          <w:szCs w:val="20"/>
        </w:rPr>
        <w:t>J. Syst. Softw</w:t>
      </w:r>
      <w:r w:rsidRPr="001F16AF">
        <w:rPr>
          <w:rFonts w:ascii="Times New Roman" w:hAnsi="Times New Roman" w:cs="Times New Roman"/>
          <w:sz w:val="20"/>
          <w:szCs w:val="20"/>
        </w:rPr>
        <w:t>, 83(11), 2332</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2343. </w:t>
      </w:r>
    </w:p>
    <w:p w14:paraId="6C13EB97" w14:textId="557FF2E7" w:rsidR="004D1D77" w:rsidRPr="001F16AF" w:rsidRDefault="00026C44" w:rsidP="001F16AF">
      <w:pPr>
        <w:pStyle w:val="aa"/>
        <w:numPr>
          <w:ilvl w:val="0"/>
          <w:numId w:val="11"/>
        </w:numPr>
        <w:ind w:leftChars="0"/>
        <w:jc w:val="both"/>
        <w:rPr>
          <w:rFonts w:ascii="Times New Roman" w:hAnsi="Times New Roman" w:cs="Times New Roman"/>
          <w:sz w:val="20"/>
          <w:szCs w:val="20"/>
        </w:rPr>
      </w:pPr>
      <w:bookmarkStart w:id="15" w:name="_Hlk116021323"/>
      <w:r w:rsidRPr="001F16AF">
        <w:rPr>
          <w:rFonts w:ascii="Times New Roman" w:hAnsi="Times New Roman" w:cs="Times New Roman"/>
          <w:sz w:val="20"/>
          <w:szCs w:val="20"/>
        </w:rPr>
        <w:t>Munoz</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Leiva, F., Hernandez</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Mendez, J., </w:t>
      </w:r>
      <w:r w:rsidR="0055472A" w:rsidRPr="001F16AF">
        <w:rPr>
          <w:rFonts w:ascii="Times New Roman" w:hAnsi="Times New Roman" w:cs="Times New Roman"/>
          <w:sz w:val="20"/>
          <w:szCs w:val="20"/>
        </w:rPr>
        <w:t>&amp;</w:t>
      </w:r>
      <w:r w:rsidRPr="001F16AF">
        <w:rPr>
          <w:rFonts w:ascii="Times New Roman" w:hAnsi="Times New Roman" w:cs="Times New Roman"/>
          <w:sz w:val="20"/>
          <w:szCs w:val="20"/>
        </w:rPr>
        <w:t xml:space="preserve"> Sanchez</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Fernandez, J. </w:t>
      </w:r>
      <w:bookmarkEnd w:id="15"/>
      <w:r w:rsidRPr="001F16AF">
        <w:rPr>
          <w:rFonts w:ascii="Times New Roman" w:hAnsi="Times New Roman" w:cs="Times New Roman"/>
          <w:sz w:val="20"/>
          <w:szCs w:val="20"/>
        </w:rPr>
        <w:t xml:space="preserve">(2012). Generalising user behaviour in online travel sites through the Travel 2.0 website acceptance model. </w:t>
      </w:r>
      <w:r w:rsidRPr="001F16AF">
        <w:rPr>
          <w:rFonts w:ascii="Times New Roman" w:hAnsi="Times New Roman" w:cs="Times New Roman"/>
          <w:i/>
          <w:iCs/>
          <w:sz w:val="20"/>
          <w:szCs w:val="20"/>
        </w:rPr>
        <w:t>Online Information Review</w:t>
      </w:r>
      <w:r w:rsidRPr="001F16AF">
        <w:rPr>
          <w:rFonts w:ascii="Times New Roman" w:hAnsi="Times New Roman" w:cs="Times New Roman"/>
          <w:sz w:val="20"/>
          <w:szCs w:val="20"/>
        </w:rPr>
        <w:t>, 36(6),</w:t>
      </w:r>
      <w:r w:rsidR="003C4D81" w:rsidRPr="001F16AF">
        <w:rPr>
          <w:rFonts w:ascii="Times New Roman" w:hAnsi="Times New Roman" w:cs="Times New Roman"/>
          <w:sz w:val="20"/>
          <w:szCs w:val="20"/>
        </w:rPr>
        <w:t xml:space="preserve"> </w:t>
      </w:r>
      <w:r w:rsidRPr="001F16AF">
        <w:rPr>
          <w:rFonts w:ascii="Times New Roman" w:hAnsi="Times New Roman" w:cs="Times New Roman"/>
          <w:sz w:val="20"/>
          <w:szCs w:val="20"/>
        </w:rPr>
        <w:t>879</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902. </w:t>
      </w:r>
      <w:r w:rsidRPr="001F16AF">
        <w:rPr>
          <w:rStyle w:val="a9"/>
          <w:rFonts w:ascii="Times New Roman" w:hAnsi="Times New Roman" w:cs="Times New Roman"/>
          <w:color w:val="auto"/>
          <w:sz w:val="20"/>
          <w:szCs w:val="20"/>
          <w:u w:val="none"/>
        </w:rPr>
        <w:t>https://doi.org/10.1108/14684521211287945</w:t>
      </w:r>
    </w:p>
    <w:p w14:paraId="087B0E96" w14:textId="1132F406"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Mattila, M., Karjaluoto, H., &amp; Pento, T. (2003). Internet banking adoption among mature customers: early majority or laggards? </w:t>
      </w:r>
      <w:r w:rsidRPr="001F16AF">
        <w:rPr>
          <w:rFonts w:ascii="Times New Roman" w:hAnsi="Times New Roman" w:cs="Times New Roman"/>
          <w:i/>
          <w:iCs/>
          <w:sz w:val="20"/>
          <w:szCs w:val="20"/>
        </w:rPr>
        <w:t xml:space="preserve">Journal of </w:t>
      </w:r>
      <w:r w:rsidR="00566290" w:rsidRPr="001F16AF">
        <w:rPr>
          <w:rFonts w:ascii="Times New Roman" w:hAnsi="Times New Roman" w:cs="Times New Roman"/>
          <w:i/>
          <w:iCs/>
          <w:sz w:val="20"/>
          <w:szCs w:val="20"/>
        </w:rPr>
        <w:t>S</w:t>
      </w:r>
      <w:r w:rsidRPr="001F16AF">
        <w:rPr>
          <w:rFonts w:ascii="Times New Roman" w:hAnsi="Times New Roman" w:cs="Times New Roman"/>
          <w:i/>
          <w:iCs/>
          <w:sz w:val="20"/>
          <w:szCs w:val="20"/>
        </w:rPr>
        <w:t xml:space="preserve">ervices </w:t>
      </w:r>
      <w:r w:rsidR="00566290" w:rsidRPr="001F16AF">
        <w:rPr>
          <w:rFonts w:ascii="Times New Roman" w:hAnsi="Times New Roman" w:cs="Times New Roman"/>
          <w:i/>
          <w:iCs/>
          <w:sz w:val="20"/>
          <w:szCs w:val="20"/>
        </w:rPr>
        <w:t>M</w:t>
      </w:r>
      <w:r w:rsidRPr="001F16AF">
        <w:rPr>
          <w:rFonts w:ascii="Times New Roman" w:hAnsi="Times New Roman" w:cs="Times New Roman"/>
          <w:i/>
          <w:iCs/>
          <w:sz w:val="20"/>
          <w:szCs w:val="20"/>
        </w:rPr>
        <w:t>arketing</w:t>
      </w:r>
      <w:r w:rsidR="00566290" w:rsidRPr="001F16AF">
        <w:rPr>
          <w:rFonts w:ascii="Times New Roman" w:hAnsi="Times New Roman" w:cs="Times New Roman"/>
          <w:sz w:val="20"/>
          <w:szCs w:val="20"/>
        </w:rPr>
        <w:t>,</w:t>
      </w:r>
      <w:r w:rsidRPr="001F16AF">
        <w:rPr>
          <w:rFonts w:ascii="Times New Roman" w:hAnsi="Times New Roman" w:cs="Times New Roman"/>
          <w:sz w:val="20"/>
          <w:szCs w:val="20"/>
        </w:rPr>
        <w:t xml:space="preserve"> 17(5), 514</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528.</w:t>
      </w:r>
    </w:p>
    <w:p w14:paraId="2F0D671E" w14:textId="1F6AE246"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Mhlanga, D. (2020). Industry 4.0 in finance: </w:t>
      </w:r>
      <w:r w:rsidR="00B22011" w:rsidRPr="001F16AF">
        <w:rPr>
          <w:rFonts w:ascii="Times New Roman" w:hAnsi="Times New Roman" w:cs="Times New Roman"/>
          <w:sz w:val="20"/>
          <w:szCs w:val="20"/>
        </w:rPr>
        <w:t>T</w:t>
      </w:r>
      <w:r w:rsidRPr="001F16AF">
        <w:rPr>
          <w:rFonts w:ascii="Times New Roman" w:hAnsi="Times New Roman" w:cs="Times New Roman"/>
          <w:sz w:val="20"/>
          <w:szCs w:val="20"/>
        </w:rPr>
        <w:t xml:space="preserve">he impact of artificial intelligence (ai) on digital financial inclusion. </w:t>
      </w:r>
      <w:r w:rsidRPr="001F16AF">
        <w:rPr>
          <w:rFonts w:ascii="Times New Roman" w:hAnsi="Times New Roman" w:cs="Times New Roman"/>
          <w:i/>
          <w:iCs/>
          <w:sz w:val="20"/>
          <w:szCs w:val="20"/>
        </w:rPr>
        <w:t>International Journal of Financial Studies</w:t>
      </w:r>
      <w:r w:rsidRPr="001F16AF">
        <w:rPr>
          <w:rFonts w:ascii="Times New Roman" w:hAnsi="Times New Roman" w:cs="Times New Roman"/>
          <w:sz w:val="20"/>
          <w:szCs w:val="20"/>
        </w:rPr>
        <w:t>, 8(3), 45</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50.</w:t>
      </w:r>
    </w:p>
    <w:p w14:paraId="4C110BF5" w14:textId="62775D30"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Pearson, K. (1901). LIII. On lines and planes of closest fit to systems of points in space. </w:t>
      </w:r>
      <w:r w:rsidRPr="001F16AF">
        <w:rPr>
          <w:rFonts w:ascii="Times New Roman" w:hAnsi="Times New Roman" w:cs="Times New Roman"/>
          <w:i/>
          <w:iCs/>
          <w:sz w:val="20"/>
          <w:szCs w:val="20"/>
        </w:rPr>
        <w:t xml:space="preserve">The London, </w:t>
      </w:r>
      <w:r w:rsidRPr="001F16AF">
        <w:rPr>
          <w:rFonts w:ascii="Times New Roman" w:hAnsi="Times New Roman" w:cs="Times New Roman"/>
          <w:i/>
          <w:iCs/>
          <w:sz w:val="20"/>
          <w:szCs w:val="20"/>
        </w:rPr>
        <w:lastRenderedPageBreak/>
        <w:t>Edinburgh, and Dublin Philosophical Magazine and Journal of Science</w:t>
      </w:r>
      <w:r w:rsidRPr="001F16AF">
        <w:rPr>
          <w:rFonts w:ascii="Times New Roman" w:hAnsi="Times New Roman" w:cs="Times New Roman"/>
          <w:sz w:val="20"/>
          <w:szCs w:val="20"/>
        </w:rPr>
        <w:t>, 2(11), 559</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572.</w:t>
      </w:r>
    </w:p>
    <w:p w14:paraId="7AFC26D4" w14:textId="36FB639B"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Pikkarainen, T., Pikkarainen, K., Karjaluoto, H., &amp; Pahnila, S. (2004). Consumer acceptance of online banking: </w:t>
      </w:r>
      <w:r w:rsidR="00B22011" w:rsidRPr="001F16AF">
        <w:rPr>
          <w:rFonts w:ascii="Times New Roman" w:hAnsi="Times New Roman" w:cs="Times New Roman"/>
          <w:sz w:val="20"/>
          <w:szCs w:val="20"/>
        </w:rPr>
        <w:t>A</w:t>
      </w:r>
      <w:r w:rsidRPr="001F16AF">
        <w:rPr>
          <w:rFonts w:ascii="Times New Roman" w:hAnsi="Times New Roman" w:cs="Times New Roman"/>
          <w:sz w:val="20"/>
          <w:szCs w:val="20"/>
        </w:rPr>
        <w:t xml:space="preserve">n extension of the technology acceptance model. </w:t>
      </w:r>
      <w:r w:rsidRPr="001F16AF">
        <w:rPr>
          <w:rFonts w:ascii="Times New Roman" w:hAnsi="Times New Roman" w:cs="Times New Roman"/>
          <w:i/>
          <w:iCs/>
          <w:sz w:val="20"/>
          <w:szCs w:val="20"/>
        </w:rPr>
        <w:t xml:space="preserve">Internet </w:t>
      </w:r>
      <w:r w:rsidR="00566290" w:rsidRPr="001F16AF">
        <w:rPr>
          <w:rFonts w:ascii="Times New Roman" w:hAnsi="Times New Roman" w:cs="Times New Roman"/>
          <w:i/>
          <w:iCs/>
          <w:sz w:val="20"/>
          <w:szCs w:val="20"/>
        </w:rPr>
        <w:t>R</w:t>
      </w:r>
      <w:r w:rsidRPr="001F16AF">
        <w:rPr>
          <w:rFonts w:ascii="Times New Roman" w:hAnsi="Times New Roman" w:cs="Times New Roman"/>
          <w:i/>
          <w:iCs/>
          <w:sz w:val="20"/>
          <w:szCs w:val="20"/>
        </w:rPr>
        <w:t>esearch</w:t>
      </w:r>
      <w:r w:rsidR="0055472A" w:rsidRPr="001F16AF">
        <w:rPr>
          <w:rFonts w:ascii="Times New Roman" w:hAnsi="Times New Roman" w:cs="Times New Roman"/>
          <w:sz w:val="20"/>
          <w:szCs w:val="20"/>
        </w:rPr>
        <w:t>,</w:t>
      </w:r>
      <w:r w:rsidRPr="001F16AF">
        <w:rPr>
          <w:rFonts w:ascii="Times New Roman" w:hAnsi="Times New Roman" w:cs="Times New Roman"/>
          <w:sz w:val="20"/>
          <w:szCs w:val="20"/>
        </w:rPr>
        <w:t xml:space="preserve"> 14(3), 224</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235.</w:t>
      </w:r>
    </w:p>
    <w:p w14:paraId="1F1FC4FD" w14:textId="73F672F4"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Sampaio, C. H., Ladeira, W. J.,</w:t>
      </w:r>
      <w:r w:rsidR="0055472A" w:rsidRPr="001F16AF">
        <w:rPr>
          <w:rFonts w:ascii="Times New Roman" w:hAnsi="Times New Roman" w:cs="Times New Roman"/>
          <w:sz w:val="20"/>
          <w:szCs w:val="20"/>
        </w:rPr>
        <w:t xml:space="preserve"> &amp;</w:t>
      </w:r>
      <w:r w:rsidRPr="001F16AF">
        <w:rPr>
          <w:rFonts w:ascii="Times New Roman" w:hAnsi="Times New Roman" w:cs="Times New Roman"/>
          <w:sz w:val="20"/>
          <w:szCs w:val="20"/>
        </w:rPr>
        <w:t xml:space="preserve"> Santini, F. D. O. (2017). Apps for mobile banking and customer satisfaction: a cross</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cultural study. </w:t>
      </w:r>
      <w:r w:rsidRPr="001F16AF">
        <w:rPr>
          <w:rFonts w:ascii="Times New Roman" w:hAnsi="Times New Roman" w:cs="Times New Roman"/>
          <w:i/>
          <w:iCs/>
          <w:sz w:val="20"/>
          <w:szCs w:val="20"/>
        </w:rPr>
        <w:t>International Journal of Bank Marketing</w:t>
      </w:r>
      <w:r w:rsidRPr="001F16AF">
        <w:rPr>
          <w:rFonts w:ascii="Times New Roman" w:hAnsi="Times New Roman" w:cs="Times New Roman"/>
          <w:sz w:val="20"/>
          <w:szCs w:val="20"/>
        </w:rPr>
        <w:t>, 35(7), 1133</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1153.</w:t>
      </w:r>
    </w:p>
    <w:p w14:paraId="34756069" w14:textId="5D7A86DF"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Sathye, M. (1999). Adoption of Internet banking by Australian consumers: </w:t>
      </w:r>
      <w:r w:rsidR="00B22011" w:rsidRPr="001F16AF">
        <w:rPr>
          <w:rFonts w:ascii="Times New Roman" w:hAnsi="Times New Roman" w:cs="Times New Roman"/>
          <w:sz w:val="20"/>
          <w:szCs w:val="20"/>
        </w:rPr>
        <w:t>A</w:t>
      </w:r>
      <w:r w:rsidRPr="001F16AF">
        <w:rPr>
          <w:rFonts w:ascii="Times New Roman" w:hAnsi="Times New Roman" w:cs="Times New Roman"/>
          <w:sz w:val="20"/>
          <w:szCs w:val="20"/>
        </w:rPr>
        <w:t xml:space="preserve">n empirical investigation. </w:t>
      </w:r>
      <w:r w:rsidRPr="001F16AF">
        <w:rPr>
          <w:rFonts w:ascii="Times New Roman" w:hAnsi="Times New Roman" w:cs="Times New Roman"/>
          <w:i/>
          <w:iCs/>
          <w:sz w:val="20"/>
          <w:szCs w:val="20"/>
        </w:rPr>
        <w:t xml:space="preserve">International Journal of </w:t>
      </w:r>
      <w:r w:rsidR="00566290" w:rsidRPr="001F16AF">
        <w:rPr>
          <w:rFonts w:ascii="Times New Roman" w:hAnsi="Times New Roman" w:cs="Times New Roman"/>
          <w:i/>
          <w:iCs/>
          <w:sz w:val="20"/>
          <w:szCs w:val="20"/>
        </w:rPr>
        <w:t>B</w:t>
      </w:r>
      <w:r w:rsidRPr="001F16AF">
        <w:rPr>
          <w:rFonts w:ascii="Times New Roman" w:hAnsi="Times New Roman" w:cs="Times New Roman"/>
          <w:i/>
          <w:iCs/>
          <w:sz w:val="20"/>
          <w:szCs w:val="20"/>
        </w:rPr>
        <w:t xml:space="preserve">ank </w:t>
      </w:r>
      <w:r w:rsidR="00566290" w:rsidRPr="001F16AF">
        <w:rPr>
          <w:rFonts w:ascii="Times New Roman" w:hAnsi="Times New Roman" w:cs="Times New Roman"/>
          <w:i/>
          <w:iCs/>
          <w:sz w:val="20"/>
          <w:szCs w:val="20"/>
        </w:rPr>
        <w:t>M</w:t>
      </w:r>
      <w:r w:rsidRPr="001F16AF">
        <w:rPr>
          <w:rFonts w:ascii="Times New Roman" w:hAnsi="Times New Roman" w:cs="Times New Roman"/>
          <w:i/>
          <w:iCs/>
          <w:sz w:val="20"/>
          <w:szCs w:val="20"/>
        </w:rPr>
        <w:t>arketing</w:t>
      </w:r>
      <w:r w:rsidR="00F66050" w:rsidRPr="001F16AF">
        <w:rPr>
          <w:rFonts w:ascii="Times New Roman" w:hAnsi="Times New Roman" w:cs="Times New Roman"/>
          <w:sz w:val="20"/>
          <w:szCs w:val="20"/>
        </w:rPr>
        <w:t>,</w:t>
      </w:r>
      <w:r w:rsidRPr="001F16AF">
        <w:rPr>
          <w:rFonts w:ascii="Times New Roman" w:hAnsi="Times New Roman" w:cs="Times New Roman"/>
          <w:sz w:val="20"/>
          <w:szCs w:val="20"/>
        </w:rPr>
        <w:t xml:space="preserve"> 17(7), 324</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334.</w:t>
      </w:r>
    </w:p>
    <w:p w14:paraId="151F37F8" w14:textId="77777777" w:rsidR="004317BA" w:rsidRPr="001F16AF" w:rsidRDefault="004317BA"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Shavelson, R. J. (1996). </w:t>
      </w:r>
      <w:r w:rsidRPr="001F16AF">
        <w:rPr>
          <w:rFonts w:ascii="Times New Roman" w:hAnsi="Times New Roman" w:cs="Times New Roman"/>
          <w:i/>
          <w:iCs/>
          <w:sz w:val="20"/>
          <w:szCs w:val="20"/>
        </w:rPr>
        <w:t>Statistical reasoning for the behavioral sciences</w:t>
      </w:r>
      <w:r w:rsidRPr="001F16AF">
        <w:rPr>
          <w:rFonts w:ascii="Times New Roman" w:hAnsi="Times New Roman" w:cs="Times New Roman"/>
          <w:sz w:val="20"/>
          <w:szCs w:val="20"/>
        </w:rPr>
        <w:t>. Allyn and Bacon, Boston.</w:t>
      </w:r>
    </w:p>
    <w:p w14:paraId="1991E9A7" w14:textId="4094F5D9" w:rsidR="004D1D77" w:rsidRPr="001F16AF" w:rsidRDefault="004D1D77"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Stine, R. A. (1995). Graphical interpretation of variance inflation factors. </w:t>
      </w:r>
      <w:r w:rsidRPr="001F16AF">
        <w:rPr>
          <w:rFonts w:ascii="Times New Roman" w:hAnsi="Times New Roman" w:cs="Times New Roman"/>
          <w:i/>
          <w:iCs/>
          <w:sz w:val="20"/>
          <w:szCs w:val="20"/>
        </w:rPr>
        <w:t>The American Statistician</w:t>
      </w:r>
      <w:r w:rsidRPr="001F16AF">
        <w:rPr>
          <w:rFonts w:ascii="Times New Roman" w:hAnsi="Times New Roman" w:cs="Times New Roman"/>
          <w:sz w:val="20"/>
          <w:szCs w:val="20"/>
        </w:rPr>
        <w:t>, 49(1), 53</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56.</w:t>
      </w:r>
    </w:p>
    <w:p w14:paraId="0F35289A" w14:textId="2FB8B7AA" w:rsidR="0014136A" w:rsidRPr="001F16AF" w:rsidRDefault="00734F92"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 xml:space="preserve">Taylor R. (1990). Interpretation of the correlation coefficient: </w:t>
      </w:r>
      <w:r w:rsidR="00B22011" w:rsidRPr="001F16AF">
        <w:rPr>
          <w:rFonts w:ascii="Times New Roman" w:hAnsi="Times New Roman" w:cs="Times New Roman"/>
          <w:sz w:val="20"/>
          <w:szCs w:val="20"/>
        </w:rPr>
        <w:t>A</w:t>
      </w:r>
      <w:r w:rsidRPr="001F16AF">
        <w:rPr>
          <w:rFonts w:ascii="Times New Roman" w:hAnsi="Times New Roman" w:cs="Times New Roman"/>
          <w:sz w:val="20"/>
          <w:szCs w:val="20"/>
        </w:rPr>
        <w:t xml:space="preserve"> basic review. </w:t>
      </w:r>
      <w:r w:rsidRPr="001F16AF">
        <w:rPr>
          <w:rFonts w:ascii="Times New Roman" w:hAnsi="Times New Roman" w:cs="Times New Roman"/>
          <w:i/>
          <w:iCs/>
          <w:sz w:val="20"/>
          <w:szCs w:val="20"/>
        </w:rPr>
        <w:t>Journal of Diagnostic Medical Sonography</w:t>
      </w:r>
      <w:r w:rsidRPr="001F16AF">
        <w:rPr>
          <w:rFonts w:ascii="Times New Roman" w:hAnsi="Times New Roman" w:cs="Times New Roman"/>
          <w:sz w:val="20"/>
          <w:szCs w:val="20"/>
        </w:rPr>
        <w:t xml:space="preserve">, </w:t>
      </w:r>
      <w:r w:rsidR="00361267" w:rsidRPr="001F16AF">
        <w:rPr>
          <w:rFonts w:ascii="Times New Roman" w:hAnsi="Times New Roman" w:cs="Times New Roman"/>
          <w:sz w:val="20"/>
          <w:szCs w:val="20"/>
        </w:rPr>
        <w:t xml:space="preserve">6, </w:t>
      </w:r>
      <w:r w:rsidRPr="001F16AF">
        <w:rPr>
          <w:rFonts w:ascii="Times New Roman" w:hAnsi="Times New Roman" w:cs="Times New Roman"/>
          <w:sz w:val="20"/>
          <w:szCs w:val="20"/>
        </w:rPr>
        <w:t>35</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39.</w:t>
      </w:r>
    </w:p>
    <w:p w14:paraId="4C7BBC60" w14:textId="1E2FE5B7" w:rsidR="00280A15" w:rsidRPr="001F16AF" w:rsidRDefault="00280A15" w:rsidP="001F16AF">
      <w:pPr>
        <w:pStyle w:val="aa"/>
        <w:numPr>
          <w:ilvl w:val="0"/>
          <w:numId w:val="11"/>
        </w:numPr>
        <w:spacing w:beforeLines="50" w:before="180" w:afterLines="50" w:after="180"/>
        <w:ind w:leftChars="0"/>
        <w:jc w:val="both"/>
        <w:rPr>
          <w:rFonts w:ascii="Times New Roman" w:hAnsi="Times New Roman" w:cs="Times New Roman"/>
          <w:sz w:val="20"/>
          <w:szCs w:val="20"/>
        </w:rPr>
      </w:pPr>
      <w:r w:rsidRPr="001F16AF">
        <w:rPr>
          <w:rFonts w:ascii="Times New Roman" w:hAnsi="Times New Roman" w:cs="Times New Roman"/>
          <w:sz w:val="20"/>
          <w:szCs w:val="20"/>
        </w:rPr>
        <w:t>Yang, J. Zhang, D. Frangi, A. F.,</w:t>
      </w:r>
      <w:r w:rsidR="00F66050" w:rsidRPr="001F16AF">
        <w:rPr>
          <w:rFonts w:ascii="Times New Roman" w:hAnsi="Times New Roman" w:cs="Times New Roman"/>
          <w:sz w:val="20"/>
          <w:szCs w:val="20"/>
        </w:rPr>
        <w:t xml:space="preserve"> &amp;</w:t>
      </w:r>
      <w:r w:rsidRPr="001F16AF">
        <w:rPr>
          <w:rFonts w:ascii="Times New Roman" w:hAnsi="Times New Roman" w:cs="Times New Roman"/>
          <w:sz w:val="20"/>
          <w:szCs w:val="20"/>
        </w:rPr>
        <w:t xml:space="preserve"> Yang, J. Y. </w:t>
      </w:r>
      <w:r w:rsidR="005E0182" w:rsidRPr="001F16AF">
        <w:rPr>
          <w:rFonts w:ascii="Times New Roman" w:hAnsi="Times New Roman" w:cs="Times New Roman"/>
          <w:sz w:val="20"/>
          <w:szCs w:val="20"/>
        </w:rPr>
        <w:t xml:space="preserve">(2004). </w:t>
      </w:r>
      <w:r w:rsidRPr="001F16AF">
        <w:rPr>
          <w:rFonts w:ascii="Times New Roman" w:hAnsi="Times New Roman" w:cs="Times New Roman"/>
          <w:sz w:val="20"/>
          <w:szCs w:val="20"/>
        </w:rPr>
        <w:t>Two</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dimensional PCA: </w:t>
      </w:r>
      <w:r w:rsidR="00B22011" w:rsidRPr="001F16AF">
        <w:rPr>
          <w:rFonts w:ascii="Times New Roman" w:hAnsi="Times New Roman" w:cs="Times New Roman"/>
          <w:sz w:val="20"/>
          <w:szCs w:val="20"/>
        </w:rPr>
        <w:t>A</w:t>
      </w:r>
      <w:r w:rsidRPr="001F16AF">
        <w:rPr>
          <w:rFonts w:ascii="Times New Roman" w:hAnsi="Times New Roman" w:cs="Times New Roman"/>
          <w:sz w:val="20"/>
          <w:szCs w:val="20"/>
        </w:rPr>
        <w:t xml:space="preserve"> new approach to appearance</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based face representation and recognition</w:t>
      </w:r>
      <w:r w:rsidR="00F66050" w:rsidRPr="001F16AF">
        <w:rPr>
          <w:rFonts w:ascii="Times New Roman" w:hAnsi="Times New Roman" w:cs="Times New Roman"/>
          <w:sz w:val="20"/>
          <w:szCs w:val="20"/>
        </w:rPr>
        <w:t>.</w:t>
      </w:r>
      <w:r w:rsidRPr="001F16AF">
        <w:rPr>
          <w:rFonts w:ascii="Times New Roman" w:hAnsi="Times New Roman" w:cs="Times New Roman"/>
          <w:sz w:val="20"/>
          <w:szCs w:val="20"/>
        </w:rPr>
        <w:t xml:space="preserve"> </w:t>
      </w:r>
      <w:r w:rsidRPr="001F16AF">
        <w:rPr>
          <w:rFonts w:ascii="Times New Roman" w:hAnsi="Times New Roman" w:cs="Times New Roman"/>
          <w:i/>
          <w:iCs/>
          <w:sz w:val="20"/>
          <w:szCs w:val="20"/>
        </w:rPr>
        <w:t>IEEE Trans Pattern Anal. Mach. Intell</w:t>
      </w:r>
      <w:r w:rsidRPr="001F16AF">
        <w:rPr>
          <w:rFonts w:ascii="Times New Roman" w:hAnsi="Times New Roman" w:cs="Times New Roman"/>
          <w:sz w:val="20"/>
          <w:szCs w:val="20"/>
        </w:rPr>
        <w:t>, 26</w:t>
      </w:r>
      <w:r w:rsidR="005E0182" w:rsidRPr="001F16AF">
        <w:rPr>
          <w:rFonts w:ascii="Times New Roman" w:hAnsi="Times New Roman" w:cs="Times New Roman"/>
          <w:sz w:val="20"/>
          <w:szCs w:val="20"/>
        </w:rPr>
        <w:t>(</w:t>
      </w:r>
      <w:r w:rsidRPr="001F16AF">
        <w:rPr>
          <w:rFonts w:ascii="Times New Roman" w:hAnsi="Times New Roman" w:cs="Times New Roman"/>
          <w:sz w:val="20"/>
          <w:szCs w:val="20"/>
        </w:rPr>
        <w:t>1),</w:t>
      </w:r>
      <w:r w:rsidR="004D1D77" w:rsidRPr="001F16AF">
        <w:rPr>
          <w:rFonts w:ascii="Times New Roman" w:hAnsi="Times New Roman" w:cs="Times New Roman"/>
          <w:sz w:val="20"/>
          <w:szCs w:val="20"/>
        </w:rPr>
        <w:t xml:space="preserve"> </w:t>
      </w:r>
      <w:r w:rsidRPr="001F16AF">
        <w:rPr>
          <w:rFonts w:ascii="Times New Roman" w:hAnsi="Times New Roman" w:cs="Times New Roman"/>
          <w:sz w:val="20"/>
          <w:szCs w:val="20"/>
        </w:rPr>
        <w:t>31</w:t>
      </w:r>
      <w:r w:rsidR="00B22011" w:rsidRPr="001F16AF">
        <w:rPr>
          <w:rFonts w:ascii="Times New Roman" w:hAnsi="Times New Roman" w:cs="Times New Roman"/>
          <w:sz w:val="20"/>
          <w:szCs w:val="20"/>
        </w:rPr>
        <w:t>–</w:t>
      </w:r>
      <w:r w:rsidRPr="001F16AF">
        <w:rPr>
          <w:rFonts w:ascii="Times New Roman" w:hAnsi="Times New Roman" w:cs="Times New Roman"/>
          <w:sz w:val="20"/>
          <w:szCs w:val="20"/>
        </w:rPr>
        <w:t xml:space="preserve">137. </w:t>
      </w:r>
    </w:p>
    <w:p w14:paraId="3B1E52B9" w14:textId="15585568" w:rsidR="000B1227" w:rsidRPr="008A2991" w:rsidRDefault="000B1227" w:rsidP="00280A15">
      <w:pPr>
        <w:spacing w:beforeLines="50" w:before="180" w:afterLines="50" w:after="180"/>
        <w:jc w:val="both"/>
        <w:rPr>
          <w:rFonts w:ascii="Times New Roman" w:hAnsi="Times New Roman" w:cs="Times New Roman"/>
          <w:sz w:val="20"/>
          <w:szCs w:val="20"/>
        </w:rPr>
      </w:pPr>
    </w:p>
    <w:sectPr w:rsidR="000B1227" w:rsidRPr="008A2991" w:rsidSect="00E5533D">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6E8E" w14:textId="77777777" w:rsidR="00B46EEA" w:rsidRDefault="00B46EEA" w:rsidP="00430552">
      <w:r>
        <w:separator/>
      </w:r>
    </w:p>
  </w:endnote>
  <w:endnote w:type="continuationSeparator" w:id="0">
    <w:p w14:paraId="7BC49B57" w14:textId="77777777" w:rsidR="00B46EEA" w:rsidRDefault="00B46EEA" w:rsidP="00430552">
      <w:r>
        <w:continuationSeparator/>
      </w:r>
    </w:p>
  </w:endnote>
  <w:endnote w:type="continuationNotice" w:id="1">
    <w:p w14:paraId="46B8D1EB" w14:textId="77777777" w:rsidR="00B46EEA" w:rsidRDefault="00B46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96591"/>
      <w:docPartObj>
        <w:docPartGallery w:val="Page Numbers (Bottom of Page)"/>
        <w:docPartUnique/>
      </w:docPartObj>
    </w:sdtPr>
    <w:sdtContent>
      <w:p w14:paraId="0671BC28" w14:textId="77777777" w:rsidR="006B1DB9" w:rsidRDefault="006B1DB9">
        <w:pPr>
          <w:pStyle w:val="a6"/>
          <w:jc w:val="center"/>
        </w:pPr>
        <w:r>
          <w:fldChar w:fldCharType="begin"/>
        </w:r>
        <w:r>
          <w:instrText>PAGE   \* MERGEFORMAT</w:instrText>
        </w:r>
        <w:r>
          <w:fldChar w:fldCharType="separate"/>
        </w:r>
        <w:r w:rsidR="008E7321" w:rsidRPr="008E7321">
          <w:rPr>
            <w:noProof/>
            <w:lang w:val="zh-TW"/>
          </w:rPr>
          <w:t>20</w:t>
        </w:r>
        <w:r>
          <w:fldChar w:fldCharType="end"/>
        </w:r>
      </w:p>
    </w:sdtContent>
  </w:sdt>
  <w:p w14:paraId="544BECC6" w14:textId="77777777" w:rsidR="006B1DB9" w:rsidRDefault="006B1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412A" w14:textId="77777777" w:rsidR="00B46EEA" w:rsidRDefault="00B46EEA" w:rsidP="00430552">
      <w:r>
        <w:separator/>
      </w:r>
    </w:p>
  </w:footnote>
  <w:footnote w:type="continuationSeparator" w:id="0">
    <w:p w14:paraId="7A647DD1" w14:textId="77777777" w:rsidR="00B46EEA" w:rsidRDefault="00B46EEA" w:rsidP="00430552">
      <w:r>
        <w:continuationSeparator/>
      </w:r>
    </w:p>
  </w:footnote>
  <w:footnote w:type="continuationNotice" w:id="1">
    <w:p w14:paraId="1BF0E271" w14:textId="77777777" w:rsidR="00B46EEA" w:rsidRDefault="00B46EEA"/>
  </w:footnote>
  <w:footnote w:id="2">
    <w:p w14:paraId="16D4B313" w14:textId="575F6517" w:rsidR="00423E3F" w:rsidRPr="00423E3F" w:rsidRDefault="00423E3F" w:rsidP="00423E3F">
      <w:pPr>
        <w:widowControl/>
        <w:rPr>
          <w:rFonts w:ascii="Times New Roman" w:hAnsi="Times New Roman" w:cs="Times New Roman"/>
          <w:b/>
          <w:kern w:val="0"/>
          <w:sz w:val="16"/>
          <w:szCs w:val="16"/>
          <w:lang w:val="en-GB" w:eastAsia="en-US"/>
        </w:rPr>
      </w:pPr>
      <w:r w:rsidRPr="00423E3F">
        <w:rPr>
          <w:rStyle w:val="af7"/>
          <w:sz w:val="16"/>
          <w:szCs w:val="16"/>
        </w:rPr>
        <w:footnoteRef/>
      </w:r>
      <w:r w:rsidRPr="00423E3F">
        <w:rPr>
          <w:sz w:val="16"/>
          <w:szCs w:val="16"/>
        </w:rPr>
        <w:t xml:space="preserve"> </w:t>
      </w:r>
      <w:r w:rsidRPr="00423E3F">
        <w:rPr>
          <w:rFonts w:ascii="Times New Roman" w:hAnsi="Times New Roman" w:cs="Times New Roman"/>
          <w:b/>
          <w:kern w:val="0"/>
          <w:sz w:val="16"/>
          <w:szCs w:val="16"/>
          <w:lang w:val="en-GB" w:eastAsia="en-US"/>
        </w:rPr>
        <w:t>Hospitality Management, Tung Nan University of Technology, New Taipei City, Taiwan, R.O.C.</w:t>
      </w:r>
    </w:p>
    <w:p w14:paraId="64D28C83" w14:textId="28AB65FB" w:rsidR="00423E3F" w:rsidRDefault="00423E3F" w:rsidP="00423E3F">
      <w:pPr>
        <w:widowControl/>
        <w:rPr>
          <w:rFonts w:ascii="Times New Roman" w:hAnsi="Times New Roman" w:cs="Times New Roman"/>
          <w:b/>
          <w:kern w:val="0"/>
          <w:sz w:val="16"/>
          <w:szCs w:val="16"/>
          <w:lang w:val="en-GB" w:eastAsia="en-US"/>
        </w:rPr>
      </w:pPr>
      <w:r w:rsidRPr="00423E3F">
        <w:rPr>
          <w:rFonts w:ascii="Times New Roman" w:hAnsi="Times New Roman" w:cs="Times New Roman" w:hint="eastAsia"/>
          <w:b/>
          <w:kern w:val="0"/>
          <w:sz w:val="16"/>
          <w:szCs w:val="16"/>
          <w:vertAlign w:val="superscript"/>
          <w:lang w:val="en-GB"/>
        </w:rPr>
        <w:t>2</w:t>
      </w:r>
      <w:r w:rsidRPr="00423E3F">
        <w:rPr>
          <w:rFonts w:ascii="Times New Roman" w:hAnsi="Times New Roman" w:cs="Times New Roman"/>
          <w:b/>
          <w:kern w:val="0"/>
          <w:sz w:val="16"/>
          <w:szCs w:val="16"/>
          <w:lang w:val="en-GB" w:eastAsia="en-US"/>
        </w:rPr>
        <w:t>Department of Finance, National Yunlin University of Science and Technology, Yunlin County, Taiwan, R. O. C.</w:t>
      </w:r>
    </w:p>
    <w:p w14:paraId="52741DFB" w14:textId="5571F638" w:rsidR="00875A43" w:rsidRPr="00423E3F" w:rsidRDefault="00875A43" w:rsidP="00423E3F">
      <w:pPr>
        <w:widowControl/>
        <w:rPr>
          <w:rFonts w:ascii="Times New Roman" w:hAnsi="Times New Roman" w:cs="Times New Roman" w:hint="eastAsia"/>
          <w:b/>
          <w:kern w:val="0"/>
          <w:sz w:val="16"/>
          <w:szCs w:val="16"/>
          <w:lang w:val="en-GB" w:eastAsia="en-US"/>
        </w:rPr>
      </w:pPr>
      <w:r>
        <w:rPr>
          <w:rFonts w:ascii="Times New Roman" w:hAnsi="Times New Roman" w:cs="Times New Roman"/>
          <w:b/>
          <w:kern w:val="0"/>
          <w:sz w:val="16"/>
          <w:szCs w:val="16"/>
          <w:lang w:val="en-GB" w:eastAsia="en-US"/>
        </w:rPr>
        <w:t>*</w:t>
      </w:r>
      <w:r w:rsidRPr="00875A43">
        <w:rPr>
          <w:rFonts w:ascii="Times New Roman" w:hAnsi="Times New Roman" w:cs="Times New Roman"/>
          <w:b/>
          <w:kern w:val="0"/>
          <w:sz w:val="16"/>
          <w:szCs w:val="16"/>
          <w:lang w:val="en-GB" w:eastAsia="en-US"/>
        </w:rPr>
        <w:t>Corresponding author. E-mail: s1185072@gmail.com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FD2"/>
    <w:multiLevelType w:val="hybridMultilevel"/>
    <w:tmpl w:val="13E20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4E11B1"/>
    <w:multiLevelType w:val="multilevel"/>
    <w:tmpl w:val="DC9E2D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490C68"/>
    <w:multiLevelType w:val="hybridMultilevel"/>
    <w:tmpl w:val="38C67AE2"/>
    <w:lvl w:ilvl="0" w:tplc="642A2EB0">
      <w:start w:val="1"/>
      <w:numFmt w:val="decimal"/>
      <w:lvlText w:val="[%1]"/>
      <w:lvlJc w:val="left"/>
      <w:pPr>
        <w:ind w:left="5" w:hanging="480"/>
      </w:pPr>
      <w:rPr>
        <w:rFonts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3" w15:restartNumberingAfterBreak="0">
    <w:nsid w:val="39BE6F8C"/>
    <w:multiLevelType w:val="multilevel"/>
    <w:tmpl w:val="7E0CF54A"/>
    <w:lvl w:ilvl="0">
      <w:start w:val="1"/>
      <w:numFmt w:val="decimal"/>
      <w:lvlText w:val="%1."/>
      <w:lvlJc w:val="left"/>
      <w:pPr>
        <w:ind w:left="284" w:hanging="284"/>
      </w:pPr>
      <w:rPr>
        <w:rFonts w:hint="eastAsia"/>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1EC4E70"/>
    <w:multiLevelType w:val="hybridMultilevel"/>
    <w:tmpl w:val="007E3616"/>
    <w:lvl w:ilvl="0" w:tplc="DDBAD1D2">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814BA2"/>
    <w:multiLevelType w:val="hybridMultilevel"/>
    <w:tmpl w:val="9BA212AA"/>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6" w15:restartNumberingAfterBreak="0">
    <w:nsid w:val="510E4F9D"/>
    <w:multiLevelType w:val="hybridMultilevel"/>
    <w:tmpl w:val="D7264C7E"/>
    <w:lvl w:ilvl="0" w:tplc="F9E0921C">
      <w:start w:val="1"/>
      <w:numFmt w:val="upperLetter"/>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28541D"/>
    <w:multiLevelType w:val="hybridMultilevel"/>
    <w:tmpl w:val="036CA328"/>
    <w:lvl w:ilvl="0" w:tplc="5AB67C6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688749DA"/>
    <w:multiLevelType w:val="hybridMultilevel"/>
    <w:tmpl w:val="D2A8194A"/>
    <w:lvl w:ilvl="0" w:tplc="642A2E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4F2DD6"/>
    <w:multiLevelType w:val="hybridMultilevel"/>
    <w:tmpl w:val="0D96AD50"/>
    <w:lvl w:ilvl="0" w:tplc="511C1E6A">
      <w:start w:val="1"/>
      <w:numFmt w:val="decimal"/>
      <w:lvlText w:val="(%1)"/>
      <w:lvlJc w:val="left"/>
      <w:pPr>
        <w:ind w:left="1779"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8885BB4"/>
    <w:multiLevelType w:val="hybridMultilevel"/>
    <w:tmpl w:val="4F3E71AC"/>
    <w:lvl w:ilvl="0" w:tplc="6024DFBE">
      <w:start w:val="1"/>
      <w:numFmt w:val="upperLetter"/>
      <w:lvlText w:val="%1."/>
      <w:lvlJc w:val="left"/>
      <w:pPr>
        <w:ind w:left="360" w:hanging="360"/>
      </w:pPr>
      <w:rPr>
        <w:rFonts w:ascii="Times New Roman" w:eastAsiaTheme="minorEastAsia" w:hAnsi="Times New Roman" w:cs="Times New Roman"/>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75409510">
    <w:abstractNumId w:val="3"/>
  </w:num>
  <w:num w:numId="2" w16cid:durableId="1231964276">
    <w:abstractNumId w:val="6"/>
  </w:num>
  <w:num w:numId="3" w16cid:durableId="284776503">
    <w:abstractNumId w:val="10"/>
  </w:num>
  <w:num w:numId="4" w16cid:durableId="130903996">
    <w:abstractNumId w:val="1"/>
  </w:num>
  <w:num w:numId="5" w16cid:durableId="1507282994">
    <w:abstractNumId w:val="4"/>
  </w:num>
  <w:num w:numId="6" w16cid:durableId="1568030236">
    <w:abstractNumId w:val="9"/>
  </w:num>
  <w:num w:numId="7" w16cid:durableId="1782801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203656">
    <w:abstractNumId w:val="7"/>
  </w:num>
  <w:num w:numId="9" w16cid:durableId="2042628249">
    <w:abstractNumId w:val="0"/>
  </w:num>
  <w:num w:numId="10" w16cid:durableId="1141269663">
    <w:abstractNumId w:val="8"/>
  </w:num>
  <w:num w:numId="11" w16cid:durableId="518743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4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30"/>
    <w:rsid w:val="0000473C"/>
    <w:rsid w:val="00017F73"/>
    <w:rsid w:val="00025CAF"/>
    <w:rsid w:val="00025E86"/>
    <w:rsid w:val="00026C44"/>
    <w:rsid w:val="00045E12"/>
    <w:rsid w:val="00050771"/>
    <w:rsid w:val="00053CF4"/>
    <w:rsid w:val="000736F5"/>
    <w:rsid w:val="000917D3"/>
    <w:rsid w:val="0009270F"/>
    <w:rsid w:val="00093A12"/>
    <w:rsid w:val="0009760C"/>
    <w:rsid w:val="000A1CB6"/>
    <w:rsid w:val="000A21AB"/>
    <w:rsid w:val="000A4897"/>
    <w:rsid w:val="000A4C4A"/>
    <w:rsid w:val="000A66E9"/>
    <w:rsid w:val="000A67ED"/>
    <w:rsid w:val="000A6D6A"/>
    <w:rsid w:val="000A786E"/>
    <w:rsid w:val="000B1227"/>
    <w:rsid w:val="000B4026"/>
    <w:rsid w:val="000B569F"/>
    <w:rsid w:val="000C3C66"/>
    <w:rsid w:val="000C7129"/>
    <w:rsid w:val="000E05D4"/>
    <w:rsid w:val="000E442D"/>
    <w:rsid w:val="000E5830"/>
    <w:rsid w:val="000E624D"/>
    <w:rsid w:val="00104FD5"/>
    <w:rsid w:val="00124E0D"/>
    <w:rsid w:val="00126E63"/>
    <w:rsid w:val="0014136A"/>
    <w:rsid w:val="001468DF"/>
    <w:rsid w:val="001528CC"/>
    <w:rsid w:val="001568FF"/>
    <w:rsid w:val="00163DDA"/>
    <w:rsid w:val="0016517D"/>
    <w:rsid w:val="00165981"/>
    <w:rsid w:val="00173D21"/>
    <w:rsid w:val="001753AB"/>
    <w:rsid w:val="001860D9"/>
    <w:rsid w:val="00186F56"/>
    <w:rsid w:val="00193035"/>
    <w:rsid w:val="001A155C"/>
    <w:rsid w:val="001A7F77"/>
    <w:rsid w:val="001B3342"/>
    <w:rsid w:val="001B458F"/>
    <w:rsid w:val="001D0190"/>
    <w:rsid w:val="001E0A4F"/>
    <w:rsid w:val="001F16AF"/>
    <w:rsid w:val="001F546D"/>
    <w:rsid w:val="00200A6D"/>
    <w:rsid w:val="0020529F"/>
    <w:rsid w:val="0020565F"/>
    <w:rsid w:val="002106B8"/>
    <w:rsid w:val="00220C6E"/>
    <w:rsid w:val="00222FA1"/>
    <w:rsid w:val="0022750D"/>
    <w:rsid w:val="00234A02"/>
    <w:rsid w:val="00237500"/>
    <w:rsid w:val="00237D8B"/>
    <w:rsid w:val="002430B6"/>
    <w:rsid w:val="002432B2"/>
    <w:rsid w:val="002476FF"/>
    <w:rsid w:val="00254F81"/>
    <w:rsid w:val="00264627"/>
    <w:rsid w:val="00265234"/>
    <w:rsid w:val="00265515"/>
    <w:rsid w:val="00277FBF"/>
    <w:rsid w:val="00280401"/>
    <w:rsid w:val="00280A15"/>
    <w:rsid w:val="00282437"/>
    <w:rsid w:val="00290141"/>
    <w:rsid w:val="002918AB"/>
    <w:rsid w:val="00295447"/>
    <w:rsid w:val="0029743E"/>
    <w:rsid w:val="002A1544"/>
    <w:rsid w:val="002A2554"/>
    <w:rsid w:val="002C550F"/>
    <w:rsid w:val="002C57CB"/>
    <w:rsid w:val="002D0C06"/>
    <w:rsid w:val="002D135B"/>
    <w:rsid w:val="002E36CF"/>
    <w:rsid w:val="002F528B"/>
    <w:rsid w:val="002F62CF"/>
    <w:rsid w:val="002F63B2"/>
    <w:rsid w:val="002F7530"/>
    <w:rsid w:val="003051CC"/>
    <w:rsid w:val="00316F72"/>
    <w:rsid w:val="00317DD1"/>
    <w:rsid w:val="003238A5"/>
    <w:rsid w:val="003257B1"/>
    <w:rsid w:val="00326967"/>
    <w:rsid w:val="003307D6"/>
    <w:rsid w:val="00335027"/>
    <w:rsid w:val="00335BEF"/>
    <w:rsid w:val="00350B35"/>
    <w:rsid w:val="00352B43"/>
    <w:rsid w:val="00357414"/>
    <w:rsid w:val="00361267"/>
    <w:rsid w:val="00362A40"/>
    <w:rsid w:val="00381CC9"/>
    <w:rsid w:val="00392744"/>
    <w:rsid w:val="003A1146"/>
    <w:rsid w:val="003A1449"/>
    <w:rsid w:val="003A1FB4"/>
    <w:rsid w:val="003A46B0"/>
    <w:rsid w:val="003B721B"/>
    <w:rsid w:val="003C4D81"/>
    <w:rsid w:val="003C5272"/>
    <w:rsid w:val="003D1DF7"/>
    <w:rsid w:val="003D5B00"/>
    <w:rsid w:val="003E0F8C"/>
    <w:rsid w:val="003F566E"/>
    <w:rsid w:val="00402FEB"/>
    <w:rsid w:val="0040494A"/>
    <w:rsid w:val="00406230"/>
    <w:rsid w:val="00423E3F"/>
    <w:rsid w:val="00424FA1"/>
    <w:rsid w:val="00427596"/>
    <w:rsid w:val="00430552"/>
    <w:rsid w:val="004317BA"/>
    <w:rsid w:val="0043607D"/>
    <w:rsid w:val="00437EE1"/>
    <w:rsid w:val="00440913"/>
    <w:rsid w:val="00454D64"/>
    <w:rsid w:val="00472168"/>
    <w:rsid w:val="0047424F"/>
    <w:rsid w:val="004752C9"/>
    <w:rsid w:val="00476A0E"/>
    <w:rsid w:val="00477256"/>
    <w:rsid w:val="00477607"/>
    <w:rsid w:val="00480576"/>
    <w:rsid w:val="004838B9"/>
    <w:rsid w:val="00486D46"/>
    <w:rsid w:val="00487439"/>
    <w:rsid w:val="00487D10"/>
    <w:rsid w:val="00494E41"/>
    <w:rsid w:val="00495241"/>
    <w:rsid w:val="004A250B"/>
    <w:rsid w:val="004C2340"/>
    <w:rsid w:val="004D0675"/>
    <w:rsid w:val="004D1D77"/>
    <w:rsid w:val="004D2E00"/>
    <w:rsid w:val="004D4B23"/>
    <w:rsid w:val="004D65E0"/>
    <w:rsid w:val="004E566C"/>
    <w:rsid w:val="004E67A6"/>
    <w:rsid w:val="004E7B42"/>
    <w:rsid w:val="004F2FB7"/>
    <w:rsid w:val="00500158"/>
    <w:rsid w:val="00500E2F"/>
    <w:rsid w:val="00511E05"/>
    <w:rsid w:val="005276C0"/>
    <w:rsid w:val="00532110"/>
    <w:rsid w:val="005442B6"/>
    <w:rsid w:val="00545D7A"/>
    <w:rsid w:val="0054647D"/>
    <w:rsid w:val="0055472A"/>
    <w:rsid w:val="0055565D"/>
    <w:rsid w:val="00555865"/>
    <w:rsid w:val="00556E01"/>
    <w:rsid w:val="0056170D"/>
    <w:rsid w:val="005634AF"/>
    <w:rsid w:val="00564900"/>
    <w:rsid w:val="00565399"/>
    <w:rsid w:val="00566290"/>
    <w:rsid w:val="00567CDF"/>
    <w:rsid w:val="0057694B"/>
    <w:rsid w:val="005844BF"/>
    <w:rsid w:val="0058724E"/>
    <w:rsid w:val="00587E6F"/>
    <w:rsid w:val="005902BE"/>
    <w:rsid w:val="00593752"/>
    <w:rsid w:val="005A2FA8"/>
    <w:rsid w:val="005A3EBF"/>
    <w:rsid w:val="005A659F"/>
    <w:rsid w:val="005B220D"/>
    <w:rsid w:val="005B7DC2"/>
    <w:rsid w:val="005C3825"/>
    <w:rsid w:val="005C640B"/>
    <w:rsid w:val="005D696C"/>
    <w:rsid w:val="005E0182"/>
    <w:rsid w:val="006034C4"/>
    <w:rsid w:val="006046F4"/>
    <w:rsid w:val="00605D8C"/>
    <w:rsid w:val="00610DFB"/>
    <w:rsid w:val="00615698"/>
    <w:rsid w:val="00624CC7"/>
    <w:rsid w:val="00644A32"/>
    <w:rsid w:val="00644A5D"/>
    <w:rsid w:val="00644A87"/>
    <w:rsid w:val="0065158A"/>
    <w:rsid w:val="006539AD"/>
    <w:rsid w:val="006607CA"/>
    <w:rsid w:val="00660EFD"/>
    <w:rsid w:val="006614F7"/>
    <w:rsid w:val="00672A20"/>
    <w:rsid w:val="006807B2"/>
    <w:rsid w:val="0068696E"/>
    <w:rsid w:val="00687C5B"/>
    <w:rsid w:val="006938DA"/>
    <w:rsid w:val="00697D1F"/>
    <w:rsid w:val="006A61A3"/>
    <w:rsid w:val="006A6B06"/>
    <w:rsid w:val="006B1DB9"/>
    <w:rsid w:val="006B338E"/>
    <w:rsid w:val="006B6E16"/>
    <w:rsid w:val="006C091A"/>
    <w:rsid w:val="006C0A9B"/>
    <w:rsid w:val="006C2ABB"/>
    <w:rsid w:val="006C318F"/>
    <w:rsid w:val="006C3C8C"/>
    <w:rsid w:val="006C3FA3"/>
    <w:rsid w:val="006D0F75"/>
    <w:rsid w:val="006D2201"/>
    <w:rsid w:val="006D2282"/>
    <w:rsid w:val="006D3261"/>
    <w:rsid w:val="006D5C88"/>
    <w:rsid w:val="006E086D"/>
    <w:rsid w:val="006E5060"/>
    <w:rsid w:val="006E7B34"/>
    <w:rsid w:val="006F16B1"/>
    <w:rsid w:val="00711C08"/>
    <w:rsid w:val="00711F6C"/>
    <w:rsid w:val="00722773"/>
    <w:rsid w:val="00723148"/>
    <w:rsid w:val="007250FC"/>
    <w:rsid w:val="007308FB"/>
    <w:rsid w:val="00732656"/>
    <w:rsid w:val="0073422C"/>
    <w:rsid w:val="00734EF7"/>
    <w:rsid w:val="00734F92"/>
    <w:rsid w:val="00737335"/>
    <w:rsid w:val="0073737F"/>
    <w:rsid w:val="0074209C"/>
    <w:rsid w:val="00750BB9"/>
    <w:rsid w:val="0075369C"/>
    <w:rsid w:val="007576AA"/>
    <w:rsid w:val="00763347"/>
    <w:rsid w:val="00764E42"/>
    <w:rsid w:val="00773A3A"/>
    <w:rsid w:val="00774AC6"/>
    <w:rsid w:val="007809DB"/>
    <w:rsid w:val="00780CA7"/>
    <w:rsid w:val="0079066F"/>
    <w:rsid w:val="00796EB7"/>
    <w:rsid w:val="007B0E64"/>
    <w:rsid w:val="007B0EC9"/>
    <w:rsid w:val="007B2DE9"/>
    <w:rsid w:val="007B40FD"/>
    <w:rsid w:val="007C2059"/>
    <w:rsid w:val="007C3CE1"/>
    <w:rsid w:val="007D1E42"/>
    <w:rsid w:val="007D285B"/>
    <w:rsid w:val="007D32E5"/>
    <w:rsid w:val="007D58E5"/>
    <w:rsid w:val="007E4C20"/>
    <w:rsid w:val="007E68DC"/>
    <w:rsid w:val="007F3F9C"/>
    <w:rsid w:val="0081255C"/>
    <w:rsid w:val="0081481F"/>
    <w:rsid w:val="0081561B"/>
    <w:rsid w:val="008159AE"/>
    <w:rsid w:val="00821FFC"/>
    <w:rsid w:val="0082506C"/>
    <w:rsid w:val="00825661"/>
    <w:rsid w:val="00832D67"/>
    <w:rsid w:val="008341B6"/>
    <w:rsid w:val="00835079"/>
    <w:rsid w:val="0085099F"/>
    <w:rsid w:val="00860450"/>
    <w:rsid w:val="00860985"/>
    <w:rsid w:val="00861444"/>
    <w:rsid w:val="008667B4"/>
    <w:rsid w:val="00867403"/>
    <w:rsid w:val="008704DA"/>
    <w:rsid w:val="008724D3"/>
    <w:rsid w:val="00873EBD"/>
    <w:rsid w:val="00875A43"/>
    <w:rsid w:val="00886C23"/>
    <w:rsid w:val="00887CF3"/>
    <w:rsid w:val="008A2991"/>
    <w:rsid w:val="008A4582"/>
    <w:rsid w:val="008A77F1"/>
    <w:rsid w:val="008B1C8E"/>
    <w:rsid w:val="008B60ED"/>
    <w:rsid w:val="008B66BB"/>
    <w:rsid w:val="008C217A"/>
    <w:rsid w:val="008D0AFA"/>
    <w:rsid w:val="008D314B"/>
    <w:rsid w:val="008D5505"/>
    <w:rsid w:val="008D7049"/>
    <w:rsid w:val="008E7321"/>
    <w:rsid w:val="008E7EE8"/>
    <w:rsid w:val="008F6933"/>
    <w:rsid w:val="009001AB"/>
    <w:rsid w:val="009015D1"/>
    <w:rsid w:val="00904210"/>
    <w:rsid w:val="00906693"/>
    <w:rsid w:val="00907FCA"/>
    <w:rsid w:val="0091692D"/>
    <w:rsid w:val="00922392"/>
    <w:rsid w:val="00924A31"/>
    <w:rsid w:val="00927112"/>
    <w:rsid w:val="009300B4"/>
    <w:rsid w:val="00936BBB"/>
    <w:rsid w:val="00942B50"/>
    <w:rsid w:val="009556C7"/>
    <w:rsid w:val="00960E4C"/>
    <w:rsid w:val="00970C1B"/>
    <w:rsid w:val="009735AB"/>
    <w:rsid w:val="009764A6"/>
    <w:rsid w:val="00976808"/>
    <w:rsid w:val="0099351B"/>
    <w:rsid w:val="009A396D"/>
    <w:rsid w:val="009A575B"/>
    <w:rsid w:val="009A60B7"/>
    <w:rsid w:val="009A75C6"/>
    <w:rsid w:val="009B45AB"/>
    <w:rsid w:val="009C0492"/>
    <w:rsid w:val="009C3A55"/>
    <w:rsid w:val="009C3F1A"/>
    <w:rsid w:val="009D1CA6"/>
    <w:rsid w:val="009E7446"/>
    <w:rsid w:val="009F53D0"/>
    <w:rsid w:val="009F559B"/>
    <w:rsid w:val="00A009B3"/>
    <w:rsid w:val="00A06B74"/>
    <w:rsid w:val="00A111EE"/>
    <w:rsid w:val="00A12392"/>
    <w:rsid w:val="00A17C43"/>
    <w:rsid w:val="00A27621"/>
    <w:rsid w:val="00A30AC9"/>
    <w:rsid w:val="00A379EB"/>
    <w:rsid w:val="00A4052A"/>
    <w:rsid w:val="00A428A3"/>
    <w:rsid w:val="00A42FFF"/>
    <w:rsid w:val="00A702A6"/>
    <w:rsid w:val="00A7175C"/>
    <w:rsid w:val="00A71B3B"/>
    <w:rsid w:val="00A71EE8"/>
    <w:rsid w:val="00A727C0"/>
    <w:rsid w:val="00A73E47"/>
    <w:rsid w:val="00A767D2"/>
    <w:rsid w:val="00A7715E"/>
    <w:rsid w:val="00A77B93"/>
    <w:rsid w:val="00A84245"/>
    <w:rsid w:val="00A8696D"/>
    <w:rsid w:val="00A920A0"/>
    <w:rsid w:val="00AA06D9"/>
    <w:rsid w:val="00AA4D6A"/>
    <w:rsid w:val="00AB1482"/>
    <w:rsid w:val="00AB591A"/>
    <w:rsid w:val="00AB6BBE"/>
    <w:rsid w:val="00AC602F"/>
    <w:rsid w:val="00AD01CF"/>
    <w:rsid w:val="00AE2F62"/>
    <w:rsid w:val="00AE3124"/>
    <w:rsid w:val="00AE508C"/>
    <w:rsid w:val="00AF1553"/>
    <w:rsid w:val="00B004E2"/>
    <w:rsid w:val="00B06D3A"/>
    <w:rsid w:val="00B11A5C"/>
    <w:rsid w:val="00B13E3F"/>
    <w:rsid w:val="00B16753"/>
    <w:rsid w:val="00B21E17"/>
    <w:rsid w:val="00B22011"/>
    <w:rsid w:val="00B25162"/>
    <w:rsid w:val="00B35D15"/>
    <w:rsid w:val="00B36E25"/>
    <w:rsid w:val="00B37EA8"/>
    <w:rsid w:val="00B46EEA"/>
    <w:rsid w:val="00B47CC5"/>
    <w:rsid w:val="00B55B1E"/>
    <w:rsid w:val="00B55D7A"/>
    <w:rsid w:val="00B60A1E"/>
    <w:rsid w:val="00B60E0D"/>
    <w:rsid w:val="00B906C9"/>
    <w:rsid w:val="00B90ED9"/>
    <w:rsid w:val="00B94E74"/>
    <w:rsid w:val="00B969B2"/>
    <w:rsid w:val="00BA734D"/>
    <w:rsid w:val="00BB1164"/>
    <w:rsid w:val="00BB5664"/>
    <w:rsid w:val="00BC1071"/>
    <w:rsid w:val="00BC4838"/>
    <w:rsid w:val="00BC4E4C"/>
    <w:rsid w:val="00BC7031"/>
    <w:rsid w:val="00BC72B2"/>
    <w:rsid w:val="00BD0DAD"/>
    <w:rsid w:val="00BF2E9A"/>
    <w:rsid w:val="00BF40D7"/>
    <w:rsid w:val="00BF57AD"/>
    <w:rsid w:val="00C12478"/>
    <w:rsid w:val="00C216A3"/>
    <w:rsid w:val="00C259D8"/>
    <w:rsid w:val="00C3035B"/>
    <w:rsid w:val="00C32DA4"/>
    <w:rsid w:val="00C408C9"/>
    <w:rsid w:val="00C432E7"/>
    <w:rsid w:val="00C47AA1"/>
    <w:rsid w:val="00C549ED"/>
    <w:rsid w:val="00C62A20"/>
    <w:rsid w:val="00C73802"/>
    <w:rsid w:val="00C75C00"/>
    <w:rsid w:val="00C80594"/>
    <w:rsid w:val="00C84B81"/>
    <w:rsid w:val="00C969CB"/>
    <w:rsid w:val="00CA2C23"/>
    <w:rsid w:val="00CB0D16"/>
    <w:rsid w:val="00CB12A9"/>
    <w:rsid w:val="00CB33FB"/>
    <w:rsid w:val="00CB6BB0"/>
    <w:rsid w:val="00CC618D"/>
    <w:rsid w:val="00CC75BD"/>
    <w:rsid w:val="00CD1969"/>
    <w:rsid w:val="00CD7865"/>
    <w:rsid w:val="00CE0240"/>
    <w:rsid w:val="00D05E2E"/>
    <w:rsid w:val="00D14018"/>
    <w:rsid w:val="00D24E58"/>
    <w:rsid w:val="00D25400"/>
    <w:rsid w:val="00D277EF"/>
    <w:rsid w:val="00D35BC5"/>
    <w:rsid w:val="00D36F75"/>
    <w:rsid w:val="00D4086F"/>
    <w:rsid w:val="00D42406"/>
    <w:rsid w:val="00D42C0E"/>
    <w:rsid w:val="00D47E3C"/>
    <w:rsid w:val="00D531B6"/>
    <w:rsid w:val="00D56E2D"/>
    <w:rsid w:val="00D6002B"/>
    <w:rsid w:val="00D64AFC"/>
    <w:rsid w:val="00D66C48"/>
    <w:rsid w:val="00D74096"/>
    <w:rsid w:val="00D74965"/>
    <w:rsid w:val="00D763A6"/>
    <w:rsid w:val="00D776A8"/>
    <w:rsid w:val="00D77FDE"/>
    <w:rsid w:val="00D84A0B"/>
    <w:rsid w:val="00D900CD"/>
    <w:rsid w:val="00D92975"/>
    <w:rsid w:val="00D93297"/>
    <w:rsid w:val="00DA3125"/>
    <w:rsid w:val="00DA4DB2"/>
    <w:rsid w:val="00DA587A"/>
    <w:rsid w:val="00DA6571"/>
    <w:rsid w:val="00DA6F58"/>
    <w:rsid w:val="00DD39A0"/>
    <w:rsid w:val="00DE5C83"/>
    <w:rsid w:val="00DE6C76"/>
    <w:rsid w:val="00DF697B"/>
    <w:rsid w:val="00E10A67"/>
    <w:rsid w:val="00E1684E"/>
    <w:rsid w:val="00E17627"/>
    <w:rsid w:val="00E200A0"/>
    <w:rsid w:val="00E22D9B"/>
    <w:rsid w:val="00E30905"/>
    <w:rsid w:val="00E35F6B"/>
    <w:rsid w:val="00E426F5"/>
    <w:rsid w:val="00E43785"/>
    <w:rsid w:val="00E5533D"/>
    <w:rsid w:val="00E60F76"/>
    <w:rsid w:val="00E711E0"/>
    <w:rsid w:val="00E961C5"/>
    <w:rsid w:val="00EA3B4C"/>
    <w:rsid w:val="00EB6240"/>
    <w:rsid w:val="00EC2AF3"/>
    <w:rsid w:val="00EC61A7"/>
    <w:rsid w:val="00EC6455"/>
    <w:rsid w:val="00EC7D38"/>
    <w:rsid w:val="00ED6B96"/>
    <w:rsid w:val="00EE1655"/>
    <w:rsid w:val="00EE6EEB"/>
    <w:rsid w:val="00EF313C"/>
    <w:rsid w:val="00EF40E8"/>
    <w:rsid w:val="00EF5E31"/>
    <w:rsid w:val="00EF5F0F"/>
    <w:rsid w:val="00EF6EA5"/>
    <w:rsid w:val="00EF7A0E"/>
    <w:rsid w:val="00F05623"/>
    <w:rsid w:val="00F20808"/>
    <w:rsid w:val="00F30202"/>
    <w:rsid w:val="00F315AD"/>
    <w:rsid w:val="00F34246"/>
    <w:rsid w:val="00F4308C"/>
    <w:rsid w:val="00F44D08"/>
    <w:rsid w:val="00F5137D"/>
    <w:rsid w:val="00F56EEF"/>
    <w:rsid w:val="00F66050"/>
    <w:rsid w:val="00F8450D"/>
    <w:rsid w:val="00F875DF"/>
    <w:rsid w:val="00FA0F11"/>
    <w:rsid w:val="00FA4C03"/>
    <w:rsid w:val="00FA6981"/>
    <w:rsid w:val="00FD3AC9"/>
    <w:rsid w:val="00FD7F27"/>
    <w:rsid w:val="00FE2229"/>
    <w:rsid w:val="00FE3D94"/>
    <w:rsid w:val="00FF13E8"/>
    <w:rsid w:val="00FF5618"/>
    <w:rsid w:val="00FF7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2DD56"/>
  <w15:docId w15:val="{E1013DDA-A92F-4906-BFF1-380A587A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2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main-text">
    <w:name w:val="1main-text"/>
    <w:basedOn w:val="a"/>
    <w:qFormat/>
    <w:rsid w:val="000A66E9"/>
    <w:pPr>
      <w:spacing w:after="80" w:line="240" w:lineRule="exact"/>
      <w:jc w:val="both"/>
    </w:pPr>
    <w:rPr>
      <w:rFonts w:ascii="Times New Roman" w:eastAsia="SimSun" w:hAnsi="Times New Roman" w:cs="Times New Roman"/>
      <w:sz w:val="20"/>
      <w:szCs w:val="20"/>
      <w:lang w:eastAsia="zh-CN"/>
    </w:rPr>
  </w:style>
  <w:style w:type="paragraph" w:customStyle="1" w:styleId="Heading11">
    <w:name w:val="Heading 11"/>
    <w:basedOn w:val="a"/>
    <w:uiPriority w:val="1"/>
    <w:qFormat/>
    <w:rsid w:val="000A66E9"/>
    <w:pPr>
      <w:outlineLvl w:val="1"/>
    </w:pPr>
    <w:rPr>
      <w:rFonts w:ascii="Microsoft YaHei" w:eastAsia="Microsoft YaHei" w:hAnsi="Microsoft YaHei"/>
      <w:b/>
      <w:bCs/>
      <w:kern w:val="0"/>
      <w:sz w:val="32"/>
      <w:szCs w:val="32"/>
      <w:lang w:eastAsia="en-US" w:bidi="en-US"/>
    </w:rPr>
  </w:style>
  <w:style w:type="character" w:styleId="a3">
    <w:name w:val="Placeholder Text"/>
    <w:basedOn w:val="a0"/>
    <w:uiPriority w:val="99"/>
    <w:semiHidden/>
    <w:rsid w:val="00F34246"/>
    <w:rPr>
      <w:color w:val="808080"/>
    </w:rPr>
  </w:style>
  <w:style w:type="paragraph" w:styleId="a4">
    <w:name w:val="header"/>
    <w:basedOn w:val="a"/>
    <w:link w:val="a5"/>
    <w:uiPriority w:val="99"/>
    <w:unhideWhenUsed/>
    <w:rsid w:val="00430552"/>
    <w:pPr>
      <w:tabs>
        <w:tab w:val="center" w:pos="4153"/>
        <w:tab w:val="right" w:pos="8306"/>
      </w:tabs>
      <w:snapToGrid w:val="0"/>
    </w:pPr>
    <w:rPr>
      <w:sz w:val="20"/>
      <w:szCs w:val="20"/>
    </w:rPr>
  </w:style>
  <w:style w:type="character" w:customStyle="1" w:styleId="a5">
    <w:name w:val="頁首 字元"/>
    <w:basedOn w:val="a0"/>
    <w:link w:val="a4"/>
    <w:uiPriority w:val="99"/>
    <w:rsid w:val="00430552"/>
    <w:rPr>
      <w:sz w:val="20"/>
      <w:szCs w:val="20"/>
    </w:rPr>
  </w:style>
  <w:style w:type="paragraph" w:styleId="a6">
    <w:name w:val="footer"/>
    <w:basedOn w:val="a"/>
    <w:link w:val="a7"/>
    <w:uiPriority w:val="99"/>
    <w:unhideWhenUsed/>
    <w:rsid w:val="00430552"/>
    <w:pPr>
      <w:tabs>
        <w:tab w:val="center" w:pos="4153"/>
        <w:tab w:val="right" w:pos="8306"/>
      </w:tabs>
      <w:snapToGrid w:val="0"/>
    </w:pPr>
    <w:rPr>
      <w:sz w:val="20"/>
      <w:szCs w:val="20"/>
    </w:rPr>
  </w:style>
  <w:style w:type="character" w:customStyle="1" w:styleId="a7">
    <w:name w:val="頁尾 字元"/>
    <w:basedOn w:val="a0"/>
    <w:link w:val="a6"/>
    <w:uiPriority w:val="99"/>
    <w:rsid w:val="00430552"/>
    <w:rPr>
      <w:sz w:val="20"/>
      <w:szCs w:val="20"/>
    </w:rPr>
  </w:style>
  <w:style w:type="paragraph" w:customStyle="1" w:styleId="a8">
    <w:name w:val="單間行距"/>
    <w:basedOn w:val="a"/>
    <w:rsid w:val="00B25162"/>
    <w:pPr>
      <w:autoSpaceDE w:val="0"/>
      <w:autoSpaceDN w:val="0"/>
      <w:adjustRightInd w:val="0"/>
      <w:ind w:leftChars="100" w:left="100"/>
      <w:jc w:val="both"/>
    </w:pPr>
    <w:rPr>
      <w:rFonts w:ascii="Times New Roman" w:eastAsia="標楷體" w:hAnsi="Times New Roman" w:cs="Times New Roman"/>
      <w:szCs w:val="24"/>
    </w:rPr>
  </w:style>
  <w:style w:type="character" w:styleId="a9">
    <w:name w:val="Hyperlink"/>
    <w:basedOn w:val="a0"/>
    <w:uiPriority w:val="99"/>
    <w:unhideWhenUsed/>
    <w:rsid w:val="00B60A1E"/>
    <w:rPr>
      <w:color w:val="0563C1" w:themeColor="hyperlink"/>
      <w:u w:val="single"/>
    </w:rPr>
  </w:style>
  <w:style w:type="paragraph" w:customStyle="1" w:styleId="Default">
    <w:name w:val="Default"/>
    <w:rsid w:val="001A7F77"/>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basedOn w:val="a"/>
    <w:link w:val="ab"/>
    <w:uiPriority w:val="34"/>
    <w:qFormat/>
    <w:rsid w:val="00B55D7A"/>
    <w:pPr>
      <w:ind w:leftChars="200" w:left="480"/>
    </w:pPr>
  </w:style>
  <w:style w:type="table" w:styleId="ac">
    <w:name w:val="Table Grid"/>
    <w:basedOn w:val="a1"/>
    <w:uiPriority w:val="39"/>
    <w:rsid w:val="00D5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D53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b">
    <w:name w:val="清單段落 字元"/>
    <w:basedOn w:val="a0"/>
    <w:link w:val="aa"/>
    <w:uiPriority w:val="34"/>
    <w:locked/>
    <w:rsid w:val="00D531B6"/>
  </w:style>
  <w:style w:type="table" w:customStyle="1" w:styleId="21">
    <w:name w:val="純表格 21"/>
    <w:basedOn w:val="a1"/>
    <w:next w:val="a1"/>
    <w:uiPriority w:val="42"/>
    <w:rsid w:val="00DD39A0"/>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d">
    <w:name w:val="annotation reference"/>
    <w:basedOn w:val="a0"/>
    <w:uiPriority w:val="99"/>
    <w:semiHidden/>
    <w:unhideWhenUsed/>
    <w:rsid w:val="00BC4E4C"/>
    <w:rPr>
      <w:sz w:val="16"/>
      <w:szCs w:val="16"/>
    </w:rPr>
  </w:style>
  <w:style w:type="character" w:customStyle="1" w:styleId="correction">
    <w:name w:val="correction"/>
    <w:basedOn w:val="a0"/>
    <w:rsid w:val="006B1DB9"/>
  </w:style>
  <w:style w:type="character" w:styleId="ae">
    <w:name w:val="Strong"/>
    <w:basedOn w:val="a0"/>
    <w:uiPriority w:val="22"/>
    <w:qFormat/>
    <w:rsid w:val="00545D7A"/>
    <w:rPr>
      <w:b/>
      <w:bCs/>
    </w:rPr>
  </w:style>
  <w:style w:type="character" w:styleId="af">
    <w:name w:val="Unresolved Mention"/>
    <w:basedOn w:val="a0"/>
    <w:uiPriority w:val="99"/>
    <w:semiHidden/>
    <w:unhideWhenUsed/>
    <w:rsid w:val="00644A32"/>
    <w:rPr>
      <w:color w:val="605E5C"/>
      <w:shd w:val="clear" w:color="auto" w:fill="E1DFDD"/>
    </w:rPr>
  </w:style>
  <w:style w:type="paragraph" w:styleId="af0">
    <w:name w:val="annotation text"/>
    <w:basedOn w:val="a"/>
    <w:link w:val="af1"/>
    <w:uiPriority w:val="99"/>
    <w:semiHidden/>
    <w:unhideWhenUsed/>
    <w:rsid w:val="00976808"/>
  </w:style>
  <w:style w:type="character" w:customStyle="1" w:styleId="af1">
    <w:name w:val="註解文字 字元"/>
    <w:basedOn w:val="a0"/>
    <w:link w:val="af0"/>
    <w:uiPriority w:val="99"/>
    <w:semiHidden/>
    <w:rsid w:val="00976808"/>
  </w:style>
  <w:style w:type="paragraph" w:styleId="af2">
    <w:name w:val="annotation subject"/>
    <w:basedOn w:val="af0"/>
    <w:next w:val="af0"/>
    <w:link w:val="af3"/>
    <w:uiPriority w:val="99"/>
    <w:semiHidden/>
    <w:unhideWhenUsed/>
    <w:rsid w:val="00265234"/>
    <w:rPr>
      <w:b/>
      <w:bCs/>
      <w:sz w:val="20"/>
      <w:szCs w:val="20"/>
    </w:rPr>
  </w:style>
  <w:style w:type="character" w:customStyle="1" w:styleId="af3">
    <w:name w:val="註解主旨 字元"/>
    <w:basedOn w:val="af1"/>
    <w:link w:val="af2"/>
    <w:uiPriority w:val="99"/>
    <w:semiHidden/>
    <w:rsid w:val="00265234"/>
    <w:rPr>
      <w:b/>
      <w:bCs/>
      <w:sz w:val="20"/>
      <w:szCs w:val="20"/>
    </w:rPr>
  </w:style>
  <w:style w:type="paragraph" w:styleId="af4">
    <w:name w:val="Revision"/>
    <w:hidden/>
    <w:uiPriority w:val="99"/>
    <w:semiHidden/>
    <w:rsid w:val="001D0190"/>
  </w:style>
  <w:style w:type="paragraph" w:customStyle="1" w:styleId="Manuscripttitle">
    <w:name w:val="Manuscript title"/>
    <w:basedOn w:val="a"/>
    <w:next w:val="a"/>
    <w:qFormat/>
    <w:rsid w:val="00C75C00"/>
    <w:pPr>
      <w:widowControl/>
      <w:jc w:val="center"/>
    </w:pPr>
    <w:rPr>
      <w:rFonts w:ascii="Times New Roman" w:hAnsi="Times New Roman" w:cs="Times New Roman"/>
      <w:b/>
      <w:caps/>
      <w:kern w:val="0"/>
      <w:szCs w:val="24"/>
      <w:lang w:val="en-GB" w:eastAsia="en-GB"/>
    </w:rPr>
  </w:style>
  <w:style w:type="paragraph" w:styleId="af5">
    <w:name w:val="footnote text"/>
    <w:basedOn w:val="a"/>
    <w:link w:val="af6"/>
    <w:uiPriority w:val="99"/>
    <w:semiHidden/>
    <w:unhideWhenUsed/>
    <w:rsid w:val="00E5533D"/>
    <w:pPr>
      <w:snapToGrid w:val="0"/>
    </w:pPr>
    <w:rPr>
      <w:sz w:val="20"/>
      <w:szCs w:val="20"/>
    </w:rPr>
  </w:style>
  <w:style w:type="character" w:customStyle="1" w:styleId="af6">
    <w:name w:val="註腳文字 字元"/>
    <w:basedOn w:val="a0"/>
    <w:link w:val="af5"/>
    <w:uiPriority w:val="99"/>
    <w:semiHidden/>
    <w:rsid w:val="00E5533D"/>
    <w:rPr>
      <w:sz w:val="20"/>
      <w:szCs w:val="20"/>
    </w:rPr>
  </w:style>
  <w:style w:type="character" w:styleId="af7">
    <w:name w:val="footnote reference"/>
    <w:basedOn w:val="a0"/>
    <w:uiPriority w:val="99"/>
    <w:semiHidden/>
    <w:unhideWhenUsed/>
    <w:rsid w:val="00E55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8166">
      <w:bodyDiv w:val="1"/>
      <w:marLeft w:val="0"/>
      <w:marRight w:val="0"/>
      <w:marTop w:val="0"/>
      <w:marBottom w:val="0"/>
      <w:divBdr>
        <w:top w:val="none" w:sz="0" w:space="0" w:color="auto"/>
        <w:left w:val="none" w:sz="0" w:space="0" w:color="auto"/>
        <w:bottom w:val="none" w:sz="0" w:space="0" w:color="auto"/>
        <w:right w:val="none" w:sz="0" w:space="0" w:color="auto"/>
      </w:divBdr>
    </w:div>
    <w:div w:id="191067437">
      <w:bodyDiv w:val="1"/>
      <w:marLeft w:val="0"/>
      <w:marRight w:val="0"/>
      <w:marTop w:val="0"/>
      <w:marBottom w:val="0"/>
      <w:divBdr>
        <w:top w:val="none" w:sz="0" w:space="0" w:color="auto"/>
        <w:left w:val="none" w:sz="0" w:space="0" w:color="auto"/>
        <w:bottom w:val="none" w:sz="0" w:space="0" w:color="auto"/>
        <w:right w:val="none" w:sz="0" w:space="0" w:color="auto"/>
      </w:divBdr>
    </w:div>
    <w:div w:id="331297512">
      <w:bodyDiv w:val="1"/>
      <w:marLeft w:val="0"/>
      <w:marRight w:val="0"/>
      <w:marTop w:val="0"/>
      <w:marBottom w:val="0"/>
      <w:divBdr>
        <w:top w:val="none" w:sz="0" w:space="0" w:color="auto"/>
        <w:left w:val="none" w:sz="0" w:space="0" w:color="auto"/>
        <w:bottom w:val="none" w:sz="0" w:space="0" w:color="auto"/>
        <w:right w:val="none" w:sz="0" w:space="0" w:color="auto"/>
      </w:divBdr>
    </w:div>
    <w:div w:id="362901226">
      <w:bodyDiv w:val="1"/>
      <w:marLeft w:val="0"/>
      <w:marRight w:val="0"/>
      <w:marTop w:val="0"/>
      <w:marBottom w:val="0"/>
      <w:divBdr>
        <w:top w:val="none" w:sz="0" w:space="0" w:color="auto"/>
        <w:left w:val="none" w:sz="0" w:space="0" w:color="auto"/>
        <w:bottom w:val="none" w:sz="0" w:space="0" w:color="auto"/>
        <w:right w:val="none" w:sz="0" w:space="0" w:color="auto"/>
      </w:divBdr>
    </w:div>
    <w:div w:id="396780478">
      <w:bodyDiv w:val="1"/>
      <w:marLeft w:val="0"/>
      <w:marRight w:val="0"/>
      <w:marTop w:val="0"/>
      <w:marBottom w:val="0"/>
      <w:divBdr>
        <w:top w:val="none" w:sz="0" w:space="0" w:color="auto"/>
        <w:left w:val="none" w:sz="0" w:space="0" w:color="auto"/>
        <w:bottom w:val="none" w:sz="0" w:space="0" w:color="auto"/>
        <w:right w:val="none" w:sz="0" w:space="0" w:color="auto"/>
      </w:divBdr>
    </w:div>
    <w:div w:id="554897799">
      <w:bodyDiv w:val="1"/>
      <w:marLeft w:val="0"/>
      <w:marRight w:val="0"/>
      <w:marTop w:val="0"/>
      <w:marBottom w:val="0"/>
      <w:divBdr>
        <w:top w:val="none" w:sz="0" w:space="0" w:color="auto"/>
        <w:left w:val="none" w:sz="0" w:space="0" w:color="auto"/>
        <w:bottom w:val="none" w:sz="0" w:space="0" w:color="auto"/>
        <w:right w:val="none" w:sz="0" w:space="0" w:color="auto"/>
      </w:divBdr>
    </w:div>
    <w:div w:id="610555413">
      <w:bodyDiv w:val="1"/>
      <w:marLeft w:val="0"/>
      <w:marRight w:val="0"/>
      <w:marTop w:val="0"/>
      <w:marBottom w:val="0"/>
      <w:divBdr>
        <w:top w:val="none" w:sz="0" w:space="0" w:color="auto"/>
        <w:left w:val="none" w:sz="0" w:space="0" w:color="auto"/>
        <w:bottom w:val="none" w:sz="0" w:space="0" w:color="auto"/>
        <w:right w:val="none" w:sz="0" w:space="0" w:color="auto"/>
      </w:divBdr>
    </w:div>
    <w:div w:id="852066052">
      <w:bodyDiv w:val="1"/>
      <w:marLeft w:val="0"/>
      <w:marRight w:val="0"/>
      <w:marTop w:val="0"/>
      <w:marBottom w:val="0"/>
      <w:divBdr>
        <w:top w:val="none" w:sz="0" w:space="0" w:color="auto"/>
        <w:left w:val="none" w:sz="0" w:space="0" w:color="auto"/>
        <w:bottom w:val="none" w:sz="0" w:space="0" w:color="auto"/>
        <w:right w:val="none" w:sz="0" w:space="0" w:color="auto"/>
      </w:divBdr>
    </w:div>
    <w:div w:id="899900543">
      <w:bodyDiv w:val="1"/>
      <w:marLeft w:val="0"/>
      <w:marRight w:val="0"/>
      <w:marTop w:val="0"/>
      <w:marBottom w:val="0"/>
      <w:divBdr>
        <w:top w:val="none" w:sz="0" w:space="0" w:color="auto"/>
        <w:left w:val="none" w:sz="0" w:space="0" w:color="auto"/>
        <w:bottom w:val="none" w:sz="0" w:space="0" w:color="auto"/>
        <w:right w:val="none" w:sz="0" w:space="0" w:color="auto"/>
      </w:divBdr>
    </w:div>
    <w:div w:id="1257596049">
      <w:bodyDiv w:val="1"/>
      <w:marLeft w:val="0"/>
      <w:marRight w:val="0"/>
      <w:marTop w:val="0"/>
      <w:marBottom w:val="0"/>
      <w:divBdr>
        <w:top w:val="none" w:sz="0" w:space="0" w:color="auto"/>
        <w:left w:val="none" w:sz="0" w:space="0" w:color="auto"/>
        <w:bottom w:val="none" w:sz="0" w:space="0" w:color="auto"/>
        <w:right w:val="none" w:sz="0" w:space="0" w:color="auto"/>
      </w:divBdr>
    </w:div>
    <w:div w:id="1467238462">
      <w:bodyDiv w:val="1"/>
      <w:marLeft w:val="0"/>
      <w:marRight w:val="0"/>
      <w:marTop w:val="0"/>
      <w:marBottom w:val="0"/>
      <w:divBdr>
        <w:top w:val="none" w:sz="0" w:space="0" w:color="auto"/>
        <w:left w:val="none" w:sz="0" w:space="0" w:color="auto"/>
        <w:bottom w:val="none" w:sz="0" w:space="0" w:color="auto"/>
        <w:right w:val="none" w:sz="0" w:space="0" w:color="auto"/>
      </w:divBdr>
      <w:divsChild>
        <w:div w:id="92240314">
          <w:marLeft w:val="0"/>
          <w:marRight w:val="0"/>
          <w:marTop w:val="0"/>
          <w:marBottom w:val="0"/>
          <w:divBdr>
            <w:top w:val="none" w:sz="0" w:space="0" w:color="auto"/>
            <w:left w:val="none" w:sz="0" w:space="0" w:color="auto"/>
            <w:bottom w:val="none" w:sz="0" w:space="0" w:color="auto"/>
            <w:right w:val="none" w:sz="0" w:space="0" w:color="auto"/>
          </w:divBdr>
          <w:divsChild>
            <w:div w:id="798769060">
              <w:marLeft w:val="0"/>
              <w:marRight w:val="0"/>
              <w:marTop w:val="0"/>
              <w:marBottom w:val="0"/>
              <w:divBdr>
                <w:top w:val="none" w:sz="0" w:space="0" w:color="auto"/>
                <w:left w:val="none" w:sz="0" w:space="0" w:color="auto"/>
                <w:bottom w:val="none" w:sz="0" w:space="0" w:color="auto"/>
                <w:right w:val="none" w:sz="0" w:space="0" w:color="auto"/>
              </w:divBdr>
            </w:div>
          </w:divsChild>
        </w:div>
        <w:div w:id="1908106469">
          <w:marLeft w:val="0"/>
          <w:marRight w:val="0"/>
          <w:marTop w:val="0"/>
          <w:marBottom w:val="0"/>
          <w:divBdr>
            <w:top w:val="none" w:sz="0" w:space="0" w:color="auto"/>
            <w:left w:val="none" w:sz="0" w:space="0" w:color="auto"/>
            <w:bottom w:val="none" w:sz="0" w:space="0" w:color="auto"/>
            <w:right w:val="none" w:sz="0" w:space="0" w:color="auto"/>
          </w:divBdr>
        </w:div>
      </w:divsChild>
    </w:div>
    <w:div w:id="1626308186">
      <w:bodyDiv w:val="1"/>
      <w:marLeft w:val="0"/>
      <w:marRight w:val="0"/>
      <w:marTop w:val="0"/>
      <w:marBottom w:val="0"/>
      <w:divBdr>
        <w:top w:val="none" w:sz="0" w:space="0" w:color="auto"/>
        <w:left w:val="none" w:sz="0" w:space="0" w:color="auto"/>
        <w:bottom w:val="none" w:sz="0" w:space="0" w:color="auto"/>
        <w:right w:val="none" w:sz="0" w:space="0" w:color="auto"/>
      </w:divBdr>
    </w:div>
    <w:div w:id="185507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57/s41264-020-00082-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gov.tw/ch/home.jsp?id=591&amp;parentpath=0,590&amp;mcustomize=multimessage_view.jsp&amp;dataserno=201911270001&amp;aplistdn=ou=disclosure,ou=multisite,ou=chinese,ou=ap_root,o=fsc,c=tw&amp;dtable=Disclos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c.gov.tw/202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D359-D7AF-464B-B2BA-1E820C0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5915</Words>
  <Characters>33720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fs21</dc:creator>
  <cp:keywords/>
  <dc:description/>
  <cp:lastModifiedBy>fushain kuo</cp:lastModifiedBy>
  <cp:revision>5</cp:revision>
  <cp:lastPrinted>2022-08-05T02:34:00Z</cp:lastPrinted>
  <dcterms:created xsi:type="dcterms:W3CDTF">2023-04-16T12:35:00Z</dcterms:created>
  <dcterms:modified xsi:type="dcterms:W3CDTF">2023-04-16T12:50:00Z</dcterms:modified>
</cp:coreProperties>
</file>