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4F" w:rsidRPr="007F32A3" w:rsidRDefault="00A0174F" w:rsidP="0061290E">
      <w:pPr>
        <w:snapToGrid w:val="0"/>
        <w:spacing w:beforeLines="50" w:before="180" w:afterLines="50" w:after="180" w:line="480" w:lineRule="auto"/>
        <w:jc w:val="center"/>
        <w:rPr>
          <w:rFonts w:ascii="Times New Roman" w:hAnsi="Times New Roman" w:cs="Times New Roman"/>
          <w:b/>
          <w:bCs/>
          <w:kern w:val="0"/>
        </w:rPr>
      </w:pPr>
      <w:r w:rsidRPr="007F32A3">
        <w:rPr>
          <w:rFonts w:ascii="Times New Roman" w:hAnsi="Times New Roman" w:cs="Times New Roman"/>
          <w:b/>
          <w:bCs/>
          <w:kern w:val="0"/>
        </w:rPr>
        <w:t xml:space="preserve">Does </w:t>
      </w:r>
      <w:r w:rsidRPr="007F32A3">
        <w:rPr>
          <w:rFonts w:ascii="Times New Roman" w:hAnsi="Times New Roman" w:cs="Times New Roman"/>
          <w:b/>
          <w:bCs/>
          <w:kern w:val="0"/>
        </w:rPr>
        <w:t>Industry Speciali</w:t>
      </w:r>
      <w:r w:rsidRPr="007F32A3">
        <w:rPr>
          <w:rFonts w:ascii="Times New Roman" w:hAnsi="Times New Roman" w:cs="Times New Roman"/>
          <w:b/>
          <w:bCs/>
          <w:kern w:val="0"/>
        </w:rPr>
        <w:t>st Auditor Provide More Insights in Their audit report? An Empirical Study of Key Audit Matters Section</w:t>
      </w:r>
    </w:p>
    <w:p w:rsidR="00A0174F" w:rsidRPr="007F32A3" w:rsidRDefault="00A0174F" w:rsidP="0061290E">
      <w:pPr>
        <w:snapToGrid w:val="0"/>
        <w:spacing w:beforeLines="50" w:before="180" w:afterLines="50" w:after="180" w:line="480" w:lineRule="auto"/>
        <w:jc w:val="center"/>
        <w:rPr>
          <w:rFonts w:ascii="Times New Roman" w:hAnsi="Times New Roman" w:cs="Times New Roman"/>
          <w:b/>
          <w:bCs/>
          <w:kern w:val="0"/>
        </w:rPr>
      </w:pPr>
      <w:r w:rsidRPr="007F32A3">
        <w:rPr>
          <w:rFonts w:ascii="Times New Roman" w:hAnsi="Times New Roman" w:cs="Times New Roman"/>
          <w:b/>
          <w:bCs/>
          <w:kern w:val="0"/>
        </w:rPr>
        <w:t>Abstract</w:t>
      </w:r>
    </w:p>
    <w:p w:rsidR="00A0174F" w:rsidRPr="007F32A3" w:rsidRDefault="00476007" w:rsidP="00476007">
      <w:pPr>
        <w:snapToGrid w:val="0"/>
        <w:ind w:firstLine="480"/>
        <w:rPr>
          <w:rFonts w:ascii="Times New Roman" w:hAnsi="Times New Roman" w:cs="Times New Roman"/>
          <w:bCs/>
          <w:kern w:val="0"/>
        </w:rPr>
      </w:pPr>
      <w:r w:rsidRPr="007F32A3">
        <w:rPr>
          <w:rFonts w:ascii="Times New Roman" w:hAnsi="Times New Roman" w:cs="Times New Roman"/>
          <w:bCs/>
          <w:kern w:val="0"/>
        </w:rPr>
        <w:t xml:space="preserve">In 2015, International Auditing and Assurance Standards Board (IAASB) released new International Standards on Auditing 701 and </w:t>
      </w:r>
      <w:r w:rsidR="00A0174F" w:rsidRPr="007F32A3">
        <w:rPr>
          <w:rFonts w:ascii="Times New Roman" w:hAnsi="Times New Roman" w:cs="Times New Roman"/>
          <w:bCs/>
          <w:kern w:val="0"/>
        </w:rPr>
        <w:t>required auditors to disclose key audit matters (KAM) in the audit report.</w:t>
      </w:r>
      <w:r w:rsidRPr="007F32A3">
        <w:rPr>
          <w:rFonts w:ascii="Times New Roman" w:hAnsi="Times New Roman" w:cs="Times New Roman"/>
          <w:bCs/>
          <w:kern w:val="0"/>
        </w:rPr>
        <w:t xml:space="preserve"> Similar standards were also released in the United States in 2017 and the United Kingdom and Ireland Financial Reporting Council (FRC) in 2014. As KAM are expected to inform on matters of the greatest significance during an audit, before exploring the question regarding whether investors will obtain useful information from additional matter disclosures, the anterior consideration may be in regard to how audit quality affects the disclosure quality of KAM. his study use hand-collected data of the KAM disclosed in the audit reports of Taiwanese listed companies in 2016 to explore the association between auditor industry specialization and audit quality by applying the disclosure quality of KAM in new audit reports. The empirical results show that the association between the industrial specialist audit partner indicator variable and the measurement of KAM content quality is significantly positive for both logistic regression and the ordinal logit regression. The findings support our hypothesis that compared with the content quality of KAM in an audit report that discussed by non-specialist auditors, the content quality of KAM is higher in the audit report that discussed by specialist auditors; and provide new evidence supporting prior studies about the superior auditing ability and disclosure quality of auditor industry specialist.</w:t>
      </w:r>
    </w:p>
    <w:p w:rsidR="00476007" w:rsidRPr="007F32A3" w:rsidRDefault="00476007" w:rsidP="00476007">
      <w:pPr>
        <w:snapToGrid w:val="0"/>
        <w:ind w:firstLine="480"/>
        <w:rPr>
          <w:rFonts w:ascii="Times New Roman" w:hAnsi="Times New Roman" w:cs="Times New Roman" w:hint="eastAsia"/>
          <w:bCs/>
          <w:kern w:val="0"/>
        </w:rPr>
      </w:pPr>
    </w:p>
    <w:p w:rsidR="00BC3D9F" w:rsidRPr="007F32A3" w:rsidRDefault="0061290E" w:rsidP="0061290E">
      <w:pPr>
        <w:snapToGrid w:val="0"/>
        <w:spacing w:beforeLines="50" w:before="180" w:afterLines="50" w:after="180" w:line="480" w:lineRule="auto"/>
        <w:jc w:val="center"/>
        <w:rPr>
          <w:rFonts w:ascii="Times New Roman" w:hAnsi="Times New Roman" w:cs="Times New Roman"/>
          <w:b/>
          <w:bCs/>
          <w:kern w:val="0"/>
        </w:rPr>
      </w:pPr>
      <w:r w:rsidRPr="007F32A3">
        <w:rPr>
          <w:rFonts w:ascii="Times New Roman" w:hAnsi="Times New Roman" w:cs="Times New Roman"/>
          <w:b/>
          <w:bCs/>
          <w:kern w:val="0"/>
        </w:rPr>
        <w:t xml:space="preserve">I. </w:t>
      </w:r>
      <w:r w:rsidR="00604F49" w:rsidRPr="007F32A3">
        <w:rPr>
          <w:rFonts w:ascii="Times New Roman" w:hAnsi="Times New Roman" w:cs="Times New Roman"/>
          <w:b/>
          <w:bCs/>
          <w:kern w:val="0"/>
        </w:rPr>
        <w:t>Introduction</w:t>
      </w:r>
    </w:p>
    <w:p w:rsidR="00E103AF" w:rsidRPr="007F32A3" w:rsidRDefault="005C0BF7" w:rsidP="0061290E">
      <w:pPr>
        <w:autoSpaceDE w:val="0"/>
        <w:autoSpaceDN w:val="0"/>
        <w:adjustRightInd w:val="0"/>
        <w:snapToGrid w:val="0"/>
        <w:spacing w:beforeLines="100" w:before="360" w:afterLines="50" w:after="180" w:line="480" w:lineRule="auto"/>
        <w:ind w:firstLineChars="200" w:firstLine="480"/>
        <w:jc w:val="both"/>
        <w:rPr>
          <w:rFonts w:ascii="Times New Roman" w:hAnsi="Times New Roman" w:cs="Times New Roman"/>
          <w:kern w:val="0"/>
        </w:rPr>
      </w:pPr>
      <w:r w:rsidRPr="007F32A3">
        <w:rPr>
          <w:rFonts w:ascii="Times New Roman" w:hAnsi="Times New Roman" w:cs="Times New Roman"/>
          <w:kern w:val="0"/>
        </w:rPr>
        <w:t xml:space="preserve">In order to enhance the transparency of </w:t>
      </w:r>
      <w:r w:rsidR="005B6300" w:rsidRPr="007F32A3">
        <w:rPr>
          <w:rFonts w:ascii="Times New Roman" w:hAnsi="Times New Roman" w:cs="Times New Roman" w:hint="eastAsia"/>
          <w:kern w:val="0"/>
        </w:rPr>
        <w:t>c</w:t>
      </w:r>
      <w:r w:rsidR="005B6300" w:rsidRPr="007F32A3">
        <w:rPr>
          <w:rFonts w:ascii="Times New Roman" w:hAnsi="Times New Roman" w:cs="Times New Roman"/>
          <w:kern w:val="0"/>
        </w:rPr>
        <w:t>ompany</w:t>
      </w:r>
      <w:r w:rsidR="00371246" w:rsidRPr="007F32A3">
        <w:rPr>
          <w:rFonts w:ascii="Times New Roman" w:hAnsi="Times New Roman" w:cs="Times New Roman"/>
          <w:kern w:val="0"/>
        </w:rPr>
        <w:t xml:space="preserve"> </w:t>
      </w:r>
      <w:r w:rsidRPr="007F32A3">
        <w:rPr>
          <w:rFonts w:ascii="Times New Roman" w:hAnsi="Times New Roman" w:cs="Times New Roman"/>
          <w:kern w:val="0"/>
        </w:rPr>
        <w:t xml:space="preserve">audit report, </w:t>
      </w:r>
      <w:r w:rsidR="007609B6" w:rsidRPr="007F32A3">
        <w:rPr>
          <w:rFonts w:ascii="Times New Roman" w:hAnsi="Times New Roman" w:cs="Times New Roman"/>
          <w:kern w:val="0"/>
        </w:rPr>
        <w:t>auditing standard development authorities around the world</w:t>
      </w:r>
      <w:r w:rsidRPr="007F32A3">
        <w:rPr>
          <w:rFonts w:ascii="Times New Roman" w:hAnsi="Times New Roman" w:cs="Times New Roman"/>
          <w:kern w:val="0"/>
        </w:rPr>
        <w:t xml:space="preserve"> have proposed or approved sta</w:t>
      </w:r>
      <w:r w:rsidR="005B6300" w:rsidRPr="007F32A3">
        <w:rPr>
          <w:rFonts w:ascii="Times New Roman" w:hAnsi="Times New Roman" w:cs="Times New Roman"/>
          <w:kern w:val="0"/>
        </w:rPr>
        <w:t>ndards that significantly improved</w:t>
      </w:r>
      <w:r w:rsidRPr="007F32A3">
        <w:rPr>
          <w:rFonts w:ascii="Times New Roman" w:hAnsi="Times New Roman" w:cs="Times New Roman"/>
          <w:kern w:val="0"/>
        </w:rPr>
        <w:t xml:space="preserve"> </w:t>
      </w:r>
      <w:r w:rsidR="005B6300" w:rsidRPr="007F32A3">
        <w:rPr>
          <w:rFonts w:ascii="Times New Roman" w:hAnsi="Times New Roman" w:cs="Times New Roman"/>
          <w:kern w:val="0"/>
        </w:rPr>
        <w:t xml:space="preserve">the </w:t>
      </w:r>
      <w:r w:rsidRPr="007F32A3">
        <w:rPr>
          <w:rFonts w:ascii="Times New Roman" w:hAnsi="Times New Roman" w:cs="Times New Roman"/>
          <w:kern w:val="0"/>
        </w:rPr>
        <w:t>auditor’s report</w:t>
      </w:r>
      <w:r w:rsidR="005B6300" w:rsidRPr="007F32A3">
        <w:rPr>
          <w:rFonts w:ascii="Times New Roman" w:hAnsi="Times New Roman" w:cs="Times New Roman"/>
          <w:kern w:val="0"/>
        </w:rPr>
        <w:t>ing</w:t>
      </w:r>
      <w:r w:rsidRPr="007F32A3">
        <w:rPr>
          <w:rFonts w:ascii="Times New Roman" w:hAnsi="Times New Roman" w:cs="Times New Roman"/>
          <w:kern w:val="0"/>
        </w:rPr>
        <w:t xml:space="preserve"> </w:t>
      </w:r>
      <w:r w:rsidR="005B6300" w:rsidRPr="007F32A3">
        <w:rPr>
          <w:rFonts w:ascii="Times New Roman" w:hAnsi="Times New Roman" w:cs="Times New Roman"/>
          <w:kern w:val="0"/>
        </w:rPr>
        <w:t>process and quality.</w:t>
      </w:r>
      <w:r w:rsidRPr="007F32A3">
        <w:rPr>
          <w:rFonts w:ascii="Times New Roman" w:hAnsi="Times New Roman" w:cs="Times New Roman"/>
          <w:kern w:val="0"/>
        </w:rPr>
        <w:t xml:space="preserve"> </w:t>
      </w:r>
      <w:r w:rsidR="005B6300" w:rsidRPr="007F32A3">
        <w:rPr>
          <w:rFonts w:ascii="Times New Roman" w:hAnsi="Times New Roman" w:cs="Times New Roman"/>
          <w:kern w:val="0"/>
        </w:rPr>
        <w:t>T</w:t>
      </w:r>
      <w:r w:rsidRPr="007F32A3">
        <w:rPr>
          <w:rFonts w:ascii="Times New Roman" w:hAnsi="Times New Roman" w:cs="Times New Roman"/>
          <w:kern w:val="0"/>
        </w:rPr>
        <w:t xml:space="preserve">he </w:t>
      </w:r>
      <w:r w:rsidR="007609B6" w:rsidRPr="007F32A3">
        <w:rPr>
          <w:rFonts w:ascii="Times New Roman" w:hAnsi="Times New Roman" w:cs="Times New Roman"/>
          <w:kern w:val="0"/>
        </w:rPr>
        <w:t>International Auditing and Assurance Standards Board (IAASB)</w:t>
      </w:r>
      <w:r w:rsidRPr="007F32A3">
        <w:rPr>
          <w:rFonts w:ascii="Times New Roman" w:hAnsi="Times New Roman" w:cs="Times New Roman"/>
          <w:kern w:val="0"/>
        </w:rPr>
        <w:t xml:space="preserve"> released new International Standards on Auditing 701 (hereafter referred to as ISA701) in January 2015 and required auditors to disclose </w:t>
      </w:r>
      <w:r w:rsidR="00371246" w:rsidRPr="007F32A3">
        <w:rPr>
          <w:rFonts w:ascii="Times New Roman" w:hAnsi="Times New Roman" w:cs="Times New Roman"/>
          <w:kern w:val="0"/>
        </w:rPr>
        <w:t>key audit matters</w:t>
      </w:r>
      <w:r w:rsidRPr="007F32A3">
        <w:rPr>
          <w:rFonts w:ascii="Times New Roman" w:hAnsi="Times New Roman" w:cs="Times New Roman"/>
          <w:kern w:val="0"/>
        </w:rPr>
        <w:t xml:space="preserve"> (</w:t>
      </w:r>
      <w:r w:rsidR="00B21D1D" w:rsidRPr="007F32A3">
        <w:rPr>
          <w:rFonts w:ascii="Times New Roman" w:hAnsi="Times New Roman" w:cs="Times New Roman"/>
          <w:kern w:val="0"/>
        </w:rPr>
        <w:t>KAM</w:t>
      </w:r>
      <w:r w:rsidRPr="007F32A3">
        <w:rPr>
          <w:rFonts w:ascii="Times New Roman" w:hAnsi="Times New Roman" w:cs="Times New Roman"/>
          <w:kern w:val="0"/>
        </w:rPr>
        <w:t>) in the audit</w:t>
      </w:r>
      <w:r w:rsidR="00381474" w:rsidRPr="007F32A3">
        <w:rPr>
          <w:rFonts w:ascii="Times New Roman" w:hAnsi="Times New Roman" w:cs="Times New Roman"/>
          <w:kern w:val="0"/>
        </w:rPr>
        <w:t xml:space="preserve"> report. Similar standards were </w:t>
      </w:r>
      <w:r w:rsidRPr="007F32A3">
        <w:rPr>
          <w:rFonts w:ascii="Times New Roman" w:hAnsi="Times New Roman" w:cs="Times New Roman"/>
          <w:kern w:val="0"/>
        </w:rPr>
        <w:t xml:space="preserve">also </w:t>
      </w:r>
      <w:r w:rsidR="005B6300" w:rsidRPr="007F32A3">
        <w:rPr>
          <w:rFonts w:ascii="Times New Roman" w:hAnsi="Times New Roman" w:cs="Times New Roman"/>
          <w:kern w:val="0"/>
        </w:rPr>
        <w:t>released</w:t>
      </w:r>
      <w:r w:rsidRPr="007F32A3">
        <w:rPr>
          <w:rFonts w:ascii="Times New Roman" w:hAnsi="Times New Roman" w:cs="Times New Roman"/>
          <w:kern w:val="0"/>
        </w:rPr>
        <w:t xml:space="preserve"> by </w:t>
      </w:r>
      <w:r w:rsidR="007609B6" w:rsidRPr="007F32A3">
        <w:rPr>
          <w:rFonts w:ascii="Times New Roman" w:hAnsi="Times New Roman" w:cs="Times New Roman"/>
          <w:kern w:val="0"/>
        </w:rPr>
        <w:t xml:space="preserve">Public Company Accounting Oversight Board (PCAOB) </w:t>
      </w:r>
      <w:r w:rsidR="005B6300" w:rsidRPr="007F32A3">
        <w:rPr>
          <w:rFonts w:ascii="Times New Roman" w:hAnsi="Times New Roman" w:cs="Times New Roman"/>
          <w:kern w:val="0"/>
        </w:rPr>
        <w:t xml:space="preserve">of the United States </w:t>
      </w:r>
      <w:r w:rsidR="007609B6" w:rsidRPr="007F32A3">
        <w:rPr>
          <w:rFonts w:ascii="Times New Roman" w:hAnsi="Times New Roman" w:cs="Times New Roman"/>
          <w:kern w:val="0"/>
        </w:rPr>
        <w:t xml:space="preserve">in </w:t>
      </w:r>
      <w:r w:rsidR="00E3053A" w:rsidRPr="007F32A3">
        <w:rPr>
          <w:rFonts w:ascii="Times New Roman" w:hAnsi="Times New Roman" w:cs="Times New Roman"/>
          <w:kern w:val="0"/>
        </w:rPr>
        <w:t>2017</w:t>
      </w:r>
      <w:r w:rsidRPr="007F32A3">
        <w:rPr>
          <w:rFonts w:ascii="Times New Roman" w:hAnsi="Times New Roman" w:cs="Times New Roman"/>
          <w:kern w:val="0"/>
        </w:rPr>
        <w:t xml:space="preserve"> and the U</w:t>
      </w:r>
      <w:r w:rsidR="00371246" w:rsidRPr="007F32A3">
        <w:rPr>
          <w:rFonts w:ascii="Times New Roman" w:hAnsi="Times New Roman" w:cs="Times New Roman"/>
          <w:kern w:val="0"/>
        </w:rPr>
        <w:t>nited Kingdom</w:t>
      </w:r>
      <w:r w:rsidRPr="007F32A3">
        <w:rPr>
          <w:rFonts w:ascii="Times New Roman" w:hAnsi="Times New Roman" w:cs="Times New Roman"/>
          <w:kern w:val="0"/>
        </w:rPr>
        <w:t xml:space="preserve"> and Ireland </w:t>
      </w:r>
      <w:r w:rsidR="007609B6" w:rsidRPr="007F32A3">
        <w:rPr>
          <w:rFonts w:ascii="Times New Roman" w:hAnsi="Times New Roman" w:cs="Times New Roman"/>
          <w:kern w:val="0"/>
        </w:rPr>
        <w:t>Financial Reporting Council (FRC) in 2014</w:t>
      </w:r>
      <w:r w:rsidRPr="007F32A3">
        <w:rPr>
          <w:rFonts w:ascii="Times New Roman" w:hAnsi="Times New Roman" w:cs="Times New Roman"/>
          <w:kern w:val="0"/>
        </w:rPr>
        <w:t xml:space="preserve">. </w:t>
      </w:r>
      <w:r w:rsidR="005B6300" w:rsidRPr="007F32A3">
        <w:rPr>
          <w:rFonts w:ascii="Times New Roman" w:hAnsi="Times New Roman" w:cs="Times New Roman"/>
          <w:kern w:val="0"/>
        </w:rPr>
        <w:t>In compliance with international development in auditing, Taiwan</w:t>
      </w:r>
      <w:r w:rsidRPr="007F32A3">
        <w:rPr>
          <w:rFonts w:ascii="Times New Roman" w:hAnsi="Times New Roman" w:cs="Times New Roman"/>
          <w:kern w:val="0"/>
        </w:rPr>
        <w:t xml:space="preserve"> Accounting Research and Development Foundation (ARDF) released the Statements of Auditing Standards No. 58 “Communicating Key Audit Matters in the Independent Auditor’s Report” (hereafter referred to as SAS No. 58), requiring auditors to communicate key matters in </w:t>
      </w:r>
      <w:r w:rsidR="00371246" w:rsidRPr="007F32A3">
        <w:rPr>
          <w:rFonts w:ascii="Times New Roman" w:hAnsi="Times New Roman" w:cs="Times New Roman"/>
          <w:kern w:val="0"/>
        </w:rPr>
        <w:t>an</w:t>
      </w:r>
      <w:r w:rsidRPr="007F32A3">
        <w:rPr>
          <w:rFonts w:ascii="Times New Roman" w:hAnsi="Times New Roman" w:cs="Times New Roman"/>
          <w:kern w:val="0"/>
        </w:rPr>
        <w:t xml:space="preserve"> audit and contain these matters in the audit reports.</w:t>
      </w:r>
      <w:r w:rsidR="006E784D" w:rsidRPr="007F32A3">
        <w:rPr>
          <w:rFonts w:ascii="Times New Roman" w:hAnsi="Times New Roman" w:cs="Times New Roman"/>
          <w:kern w:val="0"/>
        </w:rPr>
        <w:t xml:space="preserve"> </w:t>
      </w:r>
    </w:p>
    <w:p w:rsidR="00035C84" w:rsidRPr="007F32A3" w:rsidRDefault="00B21D1D" w:rsidP="0061290E">
      <w:pPr>
        <w:autoSpaceDE w:val="0"/>
        <w:autoSpaceDN w:val="0"/>
        <w:adjustRightInd w:val="0"/>
        <w:snapToGrid w:val="0"/>
        <w:spacing w:beforeLines="100" w:before="360" w:afterLines="50" w:after="180" w:line="480" w:lineRule="auto"/>
        <w:ind w:firstLineChars="200" w:firstLine="480"/>
        <w:jc w:val="both"/>
        <w:rPr>
          <w:rFonts w:ascii="Times New Roman" w:hAnsi="Times New Roman" w:cs="Times New Roman"/>
          <w:kern w:val="0"/>
          <w:szCs w:val="24"/>
        </w:rPr>
      </w:pPr>
      <w:r w:rsidRPr="007F32A3">
        <w:rPr>
          <w:rFonts w:ascii="Times New Roman" w:hAnsi="Times New Roman" w:cs="Times New Roman"/>
          <w:kern w:val="0"/>
          <w:szCs w:val="24"/>
        </w:rPr>
        <w:lastRenderedPageBreak/>
        <w:t>KAM</w:t>
      </w:r>
      <w:r w:rsidR="006E784D" w:rsidRPr="007F32A3">
        <w:rPr>
          <w:rFonts w:ascii="Times New Roman" w:hAnsi="Times New Roman" w:cs="Times New Roman"/>
          <w:kern w:val="0"/>
          <w:szCs w:val="24"/>
        </w:rPr>
        <w:t xml:space="preserve"> involve</w:t>
      </w:r>
      <w:r w:rsidR="00C21480" w:rsidRPr="007F32A3">
        <w:rPr>
          <w:rFonts w:ascii="Times New Roman" w:hAnsi="Times New Roman" w:cs="Times New Roman"/>
          <w:kern w:val="0"/>
          <w:szCs w:val="24"/>
        </w:rPr>
        <w:t xml:space="preserve"> </w:t>
      </w:r>
      <w:r w:rsidR="006E784D" w:rsidRPr="007F32A3">
        <w:rPr>
          <w:rFonts w:ascii="Times New Roman" w:hAnsi="Times New Roman" w:cs="Times New Roman"/>
          <w:kern w:val="0"/>
          <w:szCs w:val="24"/>
        </w:rPr>
        <w:t xml:space="preserve">regions of </w:t>
      </w:r>
      <w:r w:rsidR="00371246" w:rsidRPr="007F32A3">
        <w:rPr>
          <w:rFonts w:ascii="Times New Roman" w:hAnsi="Times New Roman" w:cs="Times New Roman"/>
          <w:kern w:val="0"/>
          <w:szCs w:val="24"/>
        </w:rPr>
        <w:t xml:space="preserve">an </w:t>
      </w:r>
      <w:r w:rsidR="006E784D" w:rsidRPr="007F32A3">
        <w:rPr>
          <w:rFonts w:ascii="Times New Roman" w:hAnsi="Times New Roman" w:cs="Times New Roman"/>
          <w:kern w:val="0"/>
          <w:szCs w:val="24"/>
        </w:rPr>
        <w:t>audit that require a significant amount of professional judgment for appropriate evaluation or that pose the most difficulty in obtaining and evaluating evidence (PCAOB</w:t>
      </w:r>
      <w:r w:rsidR="00C21480" w:rsidRPr="007F32A3">
        <w:rPr>
          <w:rFonts w:ascii="Times New Roman" w:hAnsi="Times New Roman" w:cs="Times New Roman"/>
          <w:kern w:val="0"/>
          <w:szCs w:val="24"/>
        </w:rPr>
        <w:t>,</w:t>
      </w:r>
      <w:r w:rsidR="006E784D" w:rsidRPr="007F32A3">
        <w:rPr>
          <w:rFonts w:ascii="Times New Roman" w:hAnsi="Times New Roman" w:cs="Times New Roman"/>
          <w:kern w:val="0"/>
          <w:szCs w:val="24"/>
        </w:rPr>
        <w:t xml:space="preserve"> 2013). </w:t>
      </w:r>
      <w:r w:rsidR="00CD7D54" w:rsidRPr="007F32A3">
        <w:rPr>
          <w:rFonts w:ascii="Times New Roman" w:hAnsi="Times New Roman" w:cs="Times New Roman"/>
          <w:kern w:val="0"/>
          <w:szCs w:val="24"/>
        </w:rPr>
        <w:t xml:space="preserve">The changes </w:t>
      </w:r>
      <w:r w:rsidR="00094F53" w:rsidRPr="007F32A3">
        <w:rPr>
          <w:rFonts w:ascii="Times New Roman" w:hAnsi="Times New Roman" w:cs="Times New Roman"/>
          <w:kern w:val="0"/>
          <w:szCs w:val="24"/>
        </w:rPr>
        <w:t>in</w:t>
      </w:r>
      <w:r w:rsidR="00CD7D54" w:rsidRPr="007F32A3">
        <w:rPr>
          <w:rFonts w:ascii="Times New Roman" w:hAnsi="Times New Roman" w:cs="Times New Roman"/>
          <w:kern w:val="0"/>
          <w:szCs w:val="24"/>
        </w:rPr>
        <w:t xml:space="preserve"> </w:t>
      </w:r>
      <w:r w:rsidR="00094F53" w:rsidRPr="007F32A3">
        <w:rPr>
          <w:rFonts w:ascii="Times New Roman" w:hAnsi="Times New Roman" w:cs="Times New Roman"/>
          <w:kern w:val="0"/>
          <w:szCs w:val="24"/>
        </w:rPr>
        <w:t>aud</w:t>
      </w:r>
      <w:r w:rsidR="00CD7D54" w:rsidRPr="007F32A3">
        <w:rPr>
          <w:rFonts w:ascii="Times New Roman" w:hAnsi="Times New Roman" w:cs="Times New Roman"/>
          <w:kern w:val="0"/>
          <w:szCs w:val="24"/>
        </w:rPr>
        <w:t xml:space="preserve">iting standards </w:t>
      </w:r>
      <w:r w:rsidR="00026F37" w:rsidRPr="007F32A3">
        <w:rPr>
          <w:rFonts w:ascii="Times New Roman" w:hAnsi="Times New Roman" w:cs="Times New Roman"/>
          <w:kern w:val="0"/>
          <w:szCs w:val="24"/>
        </w:rPr>
        <w:t>may</w:t>
      </w:r>
      <w:r w:rsidR="00CD7D54" w:rsidRPr="007F32A3">
        <w:rPr>
          <w:rFonts w:ascii="Times New Roman" w:hAnsi="Times New Roman" w:cs="Times New Roman"/>
          <w:kern w:val="0"/>
          <w:szCs w:val="24"/>
        </w:rPr>
        <w:t xml:space="preserve"> </w:t>
      </w:r>
      <w:r w:rsidR="00371246" w:rsidRPr="007F32A3">
        <w:rPr>
          <w:rFonts w:ascii="Times New Roman" w:hAnsi="Times New Roman" w:cs="Times New Roman"/>
          <w:kern w:val="0"/>
          <w:szCs w:val="24"/>
        </w:rPr>
        <w:t xml:space="preserve">have a significant </w:t>
      </w:r>
      <w:r w:rsidR="00CD7D54" w:rsidRPr="007F32A3">
        <w:rPr>
          <w:rFonts w:ascii="Times New Roman" w:hAnsi="Times New Roman" w:cs="Times New Roman"/>
          <w:kern w:val="0"/>
          <w:szCs w:val="24"/>
        </w:rPr>
        <w:t xml:space="preserve">impact </w:t>
      </w:r>
      <w:r w:rsidR="00371246" w:rsidRPr="007F32A3">
        <w:rPr>
          <w:rFonts w:ascii="Times New Roman" w:hAnsi="Times New Roman" w:cs="Times New Roman"/>
          <w:kern w:val="0"/>
          <w:szCs w:val="24"/>
        </w:rPr>
        <w:t xml:space="preserve">on </w:t>
      </w:r>
      <w:r w:rsidR="00026F37" w:rsidRPr="007F32A3">
        <w:rPr>
          <w:rFonts w:ascii="Times New Roman" w:hAnsi="Times New Roman" w:cs="Times New Roman"/>
          <w:kern w:val="0"/>
          <w:szCs w:val="24"/>
        </w:rPr>
        <w:t xml:space="preserve">the assessment of </w:t>
      </w:r>
      <w:r w:rsidR="00CD7D54" w:rsidRPr="007F32A3">
        <w:rPr>
          <w:rFonts w:ascii="Times New Roman" w:hAnsi="Times New Roman" w:cs="Times New Roman"/>
          <w:kern w:val="0"/>
          <w:szCs w:val="24"/>
        </w:rPr>
        <w:t>auditor</w:t>
      </w:r>
      <w:r w:rsidR="00601A06" w:rsidRPr="007F32A3">
        <w:rPr>
          <w:rFonts w:ascii="Times New Roman" w:hAnsi="Times New Roman" w:cs="Times New Roman"/>
          <w:kern w:val="0"/>
          <w:szCs w:val="24"/>
        </w:rPr>
        <w:t>’s</w:t>
      </w:r>
      <w:r w:rsidR="00CD7D54" w:rsidRPr="007F32A3">
        <w:rPr>
          <w:rFonts w:ascii="Times New Roman" w:hAnsi="Times New Roman" w:cs="Times New Roman"/>
          <w:kern w:val="0"/>
          <w:szCs w:val="24"/>
        </w:rPr>
        <w:t xml:space="preserve"> liability</w:t>
      </w:r>
      <w:r w:rsidR="002923F5" w:rsidRPr="007F32A3">
        <w:rPr>
          <w:rFonts w:ascii="Times New Roman" w:hAnsi="Times New Roman" w:cs="Times New Roman"/>
          <w:kern w:val="0"/>
          <w:szCs w:val="24"/>
        </w:rPr>
        <w:t xml:space="preserve"> (Gimbar, Hansen, </w:t>
      </w:r>
      <w:r w:rsidR="00AE3D06" w:rsidRPr="007F32A3">
        <w:rPr>
          <w:rFonts w:ascii="Times New Roman" w:hAnsi="Times New Roman" w:cs="Times New Roman"/>
          <w:kern w:val="0"/>
          <w:szCs w:val="24"/>
        </w:rPr>
        <w:t>and</w:t>
      </w:r>
      <w:r w:rsidR="00371246" w:rsidRPr="007F32A3">
        <w:rPr>
          <w:rFonts w:ascii="Times New Roman" w:hAnsi="Times New Roman" w:cs="Times New Roman"/>
          <w:kern w:val="0"/>
          <w:szCs w:val="24"/>
        </w:rPr>
        <w:t xml:space="preserve"> </w:t>
      </w:r>
      <w:r w:rsidR="002923F5" w:rsidRPr="007F32A3">
        <w:rPr>
          <w:rFonts w:ascii="Times New Roman" w:hAnsi="Times New Roman" w:cs="Times New Roman"/>
          <w:kern w:val="0"/>
          <w:szCs w:val="24"/>
        </w:rPr>
        <w:t>Ozlanski</w:t>
      </w:r>
      <w:r w:rsidR="00C21480" w:rsidRPr="007F32A3">
        <w:rPr>
          <w:rFonts w:ascii="Times New Roman" w:hAnsi="Times New Roman" w:cs="Times New Roman"/>
          <w:kern w:val="0"/>
          <w:szCs w:val="24"/>
        </w:rPr>
        <w:t>,</w:t>
      </w:r>
      <w:r w:rsidR="002923F5" w:rsidRPr="007F32A3">
        <w:rPr>
          <w:rFonts w:ascii="Times New Roman" w:hAnsi="Times New Roman" w:cs="Times New Roman"/>
          <w:kern w:val="0"/>
          <w:szCs w:val="24"/>
        </w:rPr>
        <w:t xml:space="preserve"> 2016) and audit practice (Vanstraelen, Sch</w:t>
      </w:r>
      <w:r w:rsidR="00026F37" w:rsidRPr="007F32A3">
        <w:rPr>
          <w:rFonts w:ascii="Times New Roman" w:hAnsi="Times New Roman" w:cs="Times New Roman"/>
          <w:kern w:val="0"/>
          <w:szCs w:val="24"/>
        </w:rPr>
        <w:t>elleman, Meuwissen</w:t>
      </w:r>
      <w:r w:rsidR="00371246" w:rsidRPr="007F32A3">
        <w:rPr>
          <w:rFonts w:ascii="Times New Roman" w:hAnsi="Times New Roman" w:cs="Times New Roman"/>
          <w:kern w:val="0"/>
          <w:szCs w:val="24"/>
        </w:rPr>
        <w:t xml:space="preserve">, </w:t>
      </w:r>
      <w:r w:rsidR="00AE3D06" w:rsidRPr="007F32A3">
        <w:rPr>
          <w:rFonts w:ascii="Times New Roman" w:hAnsi="Times New Roman" w:cs="Times New Roman"/>
          <w:kern w:val="0"/>
          <w:szCs w:val="24"/>
        </w:rPr>
        <w:t>and</w:t>
      </w:r>
      <w:r w:rsidR="00371246" w:rsidRPr="007F32A3">
        <w:rPr>
          <w:rFonts w:ascii="Times New Roman" w:hAnsi="Times New Roman" w:cs="Times New Roman"/>
          <w:kern w:val="0"/>
          <w:szCs w:val="24"/>
        </w:rPr>
        <w:t xml:space="preserve"> </w:t>
      </w:r>
      <w:r w:rsidR="00026F37" w:rsidRPr="007F32A3">
        <w:rPr>
          <w:rFonts w:ascii="Times New Roman" w:hAnsi="Times New Roman" w:cs="Times New Roman"/>
          <w:kern w:val="0"/>
          <w:szCs w:val="24"/>
        </w:rPr>
        <w:t xml:space="preserve">Hofmann </w:t>
      </w:r>
      <w:r w:rsidR="002923F5" w:rsidRPr="007F32A3">
        <w:rPr>
          <w:rFonts w:ascii="Times New Roman" w:hAnsi="Times New Roman" w:cs="Times New Roman"/>
          <w:kern w:val="0"/>
          <w:szCs w:val="24"/>
        </w:rPr>
        <w:t>2012)</w:t>
      </w:r>
      <w:r w:rsidR="00371246" w:rsidRPr="007F32A3">
        <w:rPr>
          <w:rFonts w:ascii="Times New Roman" w:hAnsi="Times New Roman" w:cs="Times New Roman"/>
          <w:kern w:val="0"/>
          <w:szCs w:val="24"/>
        </w:rPr>
        <w:t>,</w:t>
      </w:r>
      <w:r w:rsidR="00026F37" w:rsidRPr="007F32A3">
        <w:rPr>
          <w:rFonts w:ascii="Times New Roman" w:hAnsi="Times New Roman" w:cs="Times New Roman"/>
          <w:kern w:val="0"/>
          <w:szCs w:val="24"/>
        </w:rPr>
        <w:t xml:space="preserve"> which are </w:t>
      </w:r>
      <w:r w:rsidR="00601A06" w:rsidRPr="007F32A3">
        <w:rPr>
          <w:rFonts w:ascii="Times New Roman" w:hAnsi="Times New Roman" w:cs="Times New Roman"/>
          <w:kern w:val="0"/>
          <w:szCs w:val="24"/>
        </w:rPr>
        <w:t xml:space="preserve">generally considered as of </w:t>
      </w:r>
      <w:r w:rsidR="00C21480" w:rsidRPr="007F32A3">
        <w:rPr>
          <w:rFonts w:ascii="Times New Roman" w:hAnsi="Times New Roman" w:cs="Times New Roman"/>
          <w:kern w:val="0"/>
          <w:szCs w:val="24"/>
        </w:rPr>
        <w:t xml:space="preserve">the </w:t>
      </w:r>
      <w:r w:rsidR="00026F37" w:rsidRPr="007F32A3">
        <w:rPr>
          <w:rFonts w:ascii="Times New Roman" w:hAnsi="Times New Roman" w:cs="Times New Roman"/>
          <w:kern w:val="0"/>
          <w:szCs w:val="24"/>
        </w:rPr>
        <w:t>main influencing factors of audit quality</w:t>
      </w:r>
      <w:r w:rsidR="00601A06" w:rsidRPr="007F32A3">
        <w:rPr>
          <w:rFonts w:ascii="Times New Roman" w:hAnsi="Times New Roman" w:cs="Times New Roman"/>
          <w:kern w:val="0"/>
          <w:szCs w:val="24"/>
        </w:rPr>
        <w:t xml:space="preserve"> in past studies</w:t>
      </w:r>
      <w:r w:rsidR="00A227CE" w:rsidRPr="007F32A3">
        <w:rPr>
          <w:rFonts w:ascii="Times New Roman" w:hAnsi="Times New Roman" w:cs="Times New Roman"/>
          <w:kern w:val="0"/>
          <w:szCs w:val="24"/>
        </w:rPr>
        <w:t>.</w:t>
      </w:r>
    </w:p>
    <w:p w:rsidR="00C30266" w:rsidRPr="007F32A3" w:rsidRDefault="00976DF9" w:rsidP="0061290E">
      <w:pPr>
        <w:autoSpaceDE w:val="0"/>
        <w:autoSpaceDN w:val="0"/>
        <w:adjustRightInd w:val="0"/>
        <w:snapToGrid w:val="0"/>
        <w:spacing w:beforeLines="50" w:before="180" w:after="50" w:line="480" w:lineRule="auto"/>
        <w:ind w:firstLineChars="200" w:firstLine="480"/>
        <w:jc w:val="both"/>
        <w:rPr>
          <w:rFonts w:ascii="Times New Roman" w:hAnsi="Times New Roman" w:cs="Times New Roman"/>
          <w:kern w:val="0"/>
          <w:szCs w:val="24"/>
        </w:rPr>
      </w:pPr>
      <w:r w:rsidRPr="007F32A3">
        <w:rPr>
          <w:rFonts w:ascii="Times New Roman" w:hAnsi="Times New Roman" w:cs="Times New Roman" w:hint="eastAsia"/>
          <w:kern w:val="0"/>
          <w:szCs w:val="24"/>
        </w:rPr>
        <w:t>P</w:t>
      </w:r>
      <w:r w:rsidR="00877DBA" w:rsidRPr="007F32A3">
        <w:rPr>
          <w:rFonts w:ascii="Times New Roman" w:hAnsi="Times New Roman" w:cs="Times New Roman"/>
          <w:kern w:val="0"/>
          <w:szCs w:val="24"/>
        </w:rPr>
        <w:t>rior studies have</w:t>
      </w:r>
      <w:r w:rsidR="006E2F22" w:rsidRPr="007F32A3">
        <w:rPr>
          <w:rFonts w:ascii="Times New Roman" w:hAnsi="Times New Roman" w:cs="Times New Roman"/>
          <w:kern w:val="0"/>
          <w:szCs w:val="24"/>
        </w:rPr>
        <w:t xml:space="preserve"> </w:t>
      </w:r>
      <w:r w:rsidR="00877DBA" w:rsidRPr="007F32A3">
        <w:rPr>
          <w:rFonts w:ascii="Times New Roman" w:hAnsi="Times New Roman" w:cs="Times New Roman"/>
          <w:kern w:val="0"/>
          <w:szCs w:val="24"/>
        </w:rPr>
        <w:t>discussed</w:t>
      </w:r>
      <w:r w:rsidR="006E2F22" w:rsidRPr="007F32A3">
        <w:rPr>
          <w:rFonts w:ascii="Times New Roman" w:hAnsi="Times New Roman" w:cs="Times New Roman"/>
          <w:kern w:val="0"/>
          <w:szCs w:val="24"/>
        </w:rPr>
        <w:t xml:space="preserve"> the</w:t>
      </w:r>
      <w:r w:rsidR="00877DBA" w:rsidRPr="007F32A3">
        <w:rPr>
          <w:rFonts w:ascii="Times New Roman" w:hAnsi="Times New Roman" w:cs="Times New Roman"/>
          <w:kern w:val="0"/>
          <w:szCs w:val="24"/>
        </w:rPr>
        <w:t xml:space="preserve"> possible</w:t>
      </w:r>
      <w:r w:rsidR="006E2F22" w:rsidRPr="007F32A3">
        <w:rPr>
          <w:rFonts w:ascii="Times New Roman" w:hAnsi="Times New Roman" w:cs="Times New Roman"/>
          <w:kern w:val="0"/>
          <w:szCs w:val="24"/>
        </w:rPr>
        <w:t xml:space="preserve"> effect of additional disclosures in </w:t>
      </w:r>
      <w:r w:rsidR="009046BA" w:rsidRPr="007F32A3">
        <w:rPr>
          <w:rFonts w:ascii="Times New Roman" w:hAnsi="Times New Roman" w:cs="Times New Roman"/>
          <w:kern w:val="0"/>
          <w:szCs w:val="24"/>
        </w:rPr>
        <w:t xml:space="preserve">an </w:t>
      </w:r>
      <w:r w:rsidR="006E2F22" w:rsidRPr="007F32A3">
        <w:rPr>
          <w:rFonts w:ascii="Times New Roman" w:hAnsi="Times New Roman" w:cs="Times New Roman"/>
          <w:kern w:val="0"/>
          <w:szCs w:val="24"/>
        </w:rPr>
        <w:t>auditor’s report on audit quality</w:t>
      </w:r>
      <w:r w:rsidR="00877DBA" w:rsidRPr="007F32A3">
        <w:rPr>
          <w:rFonts w:ascii="Times New Roman" w:hAnsi="Times New Roman" w:cs="Times New Roman"/>
          <w:kern w:val="0"/>
          <w:szCs w:val="24"/>
        </w:rPr>
        <w:t xml:space="preserve"> (Gutierrez, Minutti-Meza, Tatum</w:t>
      </w:r>
      <w:r w:rsidR="009046BA" w:rsidRPr="007F32A3">
        <w:rPr>
          <w:rFonts w:ascii="Times New Roman" w:hAnsi="Times New Roman" w:cs="Times New Roman"/>
          <w:kern w:val="0"/>
          <w:szCs w:val="24"/>
        </w:rPr>
        <w:t xml:space="preserve">, </w:t>
      </w:r>
      <w:r w:rsidR="00AE3D06" w:rsidRPr="007F32A3">
        <w:rPr>
          <w:rFonts w:ascii="Times New Roman" w:hAnsi="Times New Roman" w:cs="Times New Roman"/>
          <w:kern w:val="0"/>
          <w:szCs w:val="24"/>
        </w:rPr>
        <w:t>and</w:t>
      </w:r>
      <w:r w:rsidR="009046BA" w:rsidRPr="007F32A3">
        <w:rPr>
          <w:rFonts w:ascii="Times New Roman" w:hAnsi="Times New Roman" w:cs="Times New Roman"/>
          <w:kern w:val="0"/>
          <w:szCs w:val="24"/>
        </w:rPr>
        <w:t xml:space="preserve"> </w:t>
      </w:r>
      <w:r w:rsidR="00877DBA" w:rsidRPr="007F32A3">
        <w:rPr>
          <w:rFonts w:ascii="Times New Roman" w:hAnsi="Times New Roman" w:cs="Times New Roman"/>
          <w:kern w:val="0"/>
          <w:szCs w:val="24"/>
        </w:rPr>
        <w:t>Vulcheva</w:t>
      </w:r>
      <w:r w:rsidR="00604F49" w:rsidRPr="007F32A3">
        <w:rPr>
          <w:rFonts w:ascii="Times New Roman" w:hAnsi="Times New Roman" w:cs="Times New Roman"/>
          <w:kern w:val="0"/>
          <w:szCs w:val="24"/>
        </w:rPr>
        <w:t>,</w:t>
      </w:r>
      <w:r w:rsidR="00877DBA" w:rsidRPr="007F32A3">
        <w:rPr>
          <w:rFonts w:ascii="Times New Roman" w:hAnsi="Times New Roman" w:cs="Times New Roman"/>
          <w:kern w:val="0"/>
          <w:szCs w:val="24"/>
        </w:rPr>
        <w:t xml:space="preserve"> 2018</w:t>
      </w:r>
      <w:r w:rsidR="001E0215" w:rsidRPr="007F32A3">
        <w:rPr>
          <w:rFonts w:ascii="Times New Roman" w:hAnsi="Times New Roman" w:cs="Times New Roman"/>
          <w:kern w:val="0"/>
          <w:szCs w:val="24"/>
        </w:rPr>
        <w:t>; Vanstraelen et al.</w:t>
      </w:r>
      <w:r w:rsidR="009046BA" w:rsidRPr="007F32A3">
        <w:rPr>
          <w:rFonts w:ascii="Times New Roman" w:hAnsi="Times New Roman" w:cs="Times New Roman"/>
          <w:kern w:val="0"/>
          <w:szCs w:val="24"/>
        </w:rPr>
        <w:t>,</w:t>
      </w:r>
      <w:r w:rsidR="001E0215" w:rsidRPr="007F32A3">
        <w:rPr>
          <w:rFonts w:ascii="Times New Roman" w:hAnsi="Times New Roman" w:cs="Times New Roman"/>
          <w:kern w:val="0"/>
          <w:szCs w:val="24"/>
        </w:rPr>
        <w:t xml:space="preserve"> 2012</w:t>
      </w:r>
      <w:r w:rsidR="00877DBA" w:rsidRPr="007F32A3">
        <w:rPr>
          <w:rFonts w:ascii="Times New Roman" w:hAnsi="Times New Roman" w:cs="Times New Roman"/>
          <w:kern w:val="0"/>
          <w:szCs w:val="24"/>
        </w:rPr>
        <w:t>)</w:t>
      </w:r>
      <w:r w:rsidR="006E2F22" w:rsidRPr="007F32A3">
        <w:rPr>
          <w:rFonts w:ascii="Times New Roman" w:hAnsi="Times New Roman" w:cs="Times New Roman"/>
          <w:kern w:val="0"/>
          <w:szCs w:val="24"/>
        </w:rPr>
        <w:t xml:space="preserve">. From </w:t>
      </w:r>
      <w:r w:rsidR="00860C87" w:rsidRPr="007F32A3">
        <w:rPr>
          <w:rFonts w:ascii="Times New Roman" w:hAnsi="Times New Roman" w:cs="Times New Roman"/>
          <w:kern w:val="0"/>
          <w:szCs w:val="24"/>
        </w:rPr>
        <w:t xml:space="preserve">the </w:t>
      </w:r>
      <w:r w:rsidR="009046BA" w:rsidRPr="007F32A3">
        <w:rPr>
          <w:rFonts w:ascii="Times New Roman" w:hAnsi="Times New Roman" w:cs="Times New Roman"/>
          <w:kern w:val="0"/>
          <w:szCs w:val="24"/>
        </w:rPr>
        <w:t xml:space="preserve">perspective </w:t>
      </w:r>
      <w:r w:rsidR="00860C87" w:rsidRPr="007F32A3">
        <w:rPr>
          <w:rFonts w:ascii="Times New Roman" w:hAnsi="Times New Roman" w:cs="Times New Roman"/>
          <w:kern w:val="0"/>
          <w:szCs w:val="24"/>
        </w:rPr>
        <w:t xml:space="preserve">of </w:t>
      </w:r>
      <w:r w:rsidR="009046BA" w:rsidRPr="007F32A3">
        <w:rPr>
          <w:rFonts w:ascii="Times New Roman" w:hAnsi="Times New Roman" w:cs="Times New Roman"/>
          <w:kern w:val="0"/>
          <w:szCs w:val="24"/>
        </w:rPr>
        <w:t xml:space="preserve">an auditor’s </w:t>
      </w:r>
      <w:r w:rsidR="00860C87" w:rsidRPr="007F32A3">
        <w:rPr>
          <w:rFonts w:ascii="Times New Roman" w:hAnsi="Times New Roman" w:cs="Times New Roman"/>
          <w:kern w:val="0"/>
          <w:szCs w:val="24"/>
        </w:rPr>
        <w:t>reputation, the additional disclosure requirements of KAM in new audit reports would lead to an increase in transparency of audit practices (Vanstraelen et al.</w:t>
      </w:r>
      <w:r w:rsidR="009046BA" w:rsidRPr="007F32A3">
        <w:rPr>
          <w:rFonts w:ascii="Times New Roman" w:hAnsi="Times New Roman" w:cs="Times New Roman"/>
          <w:kern w:val="0"/>
          <w:szCs w:val="24"/>
        </w:rPr>
        <w:t>,</w:t>
      </w:r>
      <w:r w:rsidR="00860C87" w:rsidRPr="007F32A3">
        <w:rPr>
          <w:rFonts w:ascii="Times New Roman" w:hAnsi="Times New Roman" w:cs="Times New Roman"/>
          <w:kern w:val="0"/>
          <w:szCs w:val="24"/>
        </w:rPr>
        <w:t xml:space="preserve"> 2012) and might </w:t>
      </w:r>
      <w:r w:rsidR="009046BA" w:rsidRPr="007F32A3">
        <w:rPr>
          <w:rFonts w:ascii="Times New Roman" w:hAnsi="Times New Roman" w:cs="Times New Roman"/>
          <w:kern w:val="0"/>
          <w:szCs w:val="24"/>
        </w:rPr>
        <w:t xml:space="preserve">place </w:t>
      </w:r>
      <w:r w:rsidR="00860C87" w:rsidRPr="007F32A3">
        <w:rPr>
          <w:rFonts w:ascii="Times New Roman" w:hAnsi="Times New Roman" w:cs="Times New Roman"/>
          <w:kern w:val="0"/>
          <w:szCs w:val="24"/>
        </w:rPr>
        <w:t>companies and auditors under more careful scrutiny by users (Gutierrez et al.</w:t>
      </w:r>
      <w:r w:rsidR="00C21480" w:rsidRPr="007F32A3">
        <w:rPr>
          <w:rFonts w:ascii="Times New Roman" w:hAnsi="Times New Roman" w:cs="Times New Roman"/>
          <w:kern w:val="0"/>
          <w:szCs w:val="24"/>
        </w:rPr>
        <w:t>,</w:t>
      </w:r>
      <w:r w:rsidR="00860C87" w:rsidRPr="007F32A3">
        <w:rPr>
          <w:rFonts w:ascii="Times New Roman" w:hAnsi="Times New Roman" w:cs="Times New Roman"/>
          <w:kern w:val="0"/>
          <w:szCs w:val="24"/>
        </w:rPr>
        <w:t xml:space="preserve"> 2018).</w:t>
      </w:r>
      <w:r w:rsidR="00494A8E" w:rsidRPr="007F32A3">
        <w:rPr>
          <w:rFonts w:ascii="Times New Roman" w:hAnsi="Times New Roman" w:cs="Times New Roman"/>
          <w:kern w:val="0"/>
          <w:szCs w:val="24"/>
        </w:rPr>
        <w:t xml:space="preserve"> On the other hand, from</w:t>
      </w:r>
      <w:r w:rsidR="00860C87" w:rsidRPr="007F32A3">
        <w:rPr>
          <w:rFonts w:ascii="Times New Roman" w:hAnsi="Times New Roman" w:cs="Times New Roman"/>
          <w:kern w:val="0"/>
          <w:szCs w:val="24"/>
        </w:rPr>
        <w:t xml:space="preserve"> the litigation perspective, prior studies </w:t>
      </w:r>
      <w:r w:rsidR="009046BA" w:rsidRPr="007F32A3">
        <w:rPr>
          <w:rFonts w:ascii="Times New Roman" w:hAnsi="Times New Roman" w:cs="Times New Roman"/>
          <w:kern w:val="0"/>
          <w:szCs w:val="24"/>
        </w:rPr>
        <w:t xml:space="preserve">have </w:t>
      </w:r>
      <w:r w:rsidR="00860C87" w:rsidRPr="007F32A3">
        <w:rPr>
          <w:rFonts w:ascii="Times New Roman" w:hAnsi="Times New Roman" w:cs="Times New Roman"/>
          <w:kern w:val="0"/>
          <w:szCs w:val="24"/>
        </w:rPr>
        <w:t xml:space="preserve">suggested that the additional disclosure requirements of </w:t>
      </w:r>
      <w:r w:rsidR="00B21D1D" w:rsidRPr="007F32A3">
        <w:rPr>
          <w:rFonts w:ascii="Times New Roman" w:hAnsi="Times New Roman" w:cs="Times New Roman"/>
          <w:kern w:val="0"/>
          <w:szCs w:val="24"/>
        </w:rPr>
        <w:t>KAM</w:t>
      </w:r>
      <w:r w:rsidR="00860C87" w:rsidRPr="007F32A3">
        <w:rPr>
          <w:rFonts w:ascii="Times New Roman" w:hAnsi="Times New Roman" w:cs="Times New Roman"/>
          <w:kern w:val="0"/>
          <w:szCs w:val="24"/>
        </w:rPr>
        <w:t xml:space="preserve"> in the new audit reports may affect the auditors’ legal responsibility (Backof, Bowlin, </w:t>
      </w:r>
      <w:r w:rsidR="00AE3D06" w:rsidRPr="007F32A3">
        <w:rPr>
          <w:rFonts w:ascii="Times New Roman" w:hAnsi="Times New Roman" w:cs="Times New Roman"/>
          <w:kern w:val="0"/>
          <w:szCs w:val="24"/>
        </w:rPr>
        <w:t>and</w:t>
      </w:r>
      <w:r w:rsidR="009046BA" w:rsidRPr="007F32A3">
        <w:rPr>
          <w:rFonts w:ascii="Times New Roman" w:hAnsi="Times New Roman" w:cs="Times New Roman"/>
          <w:kern w:val="0"/>
          <w:szCs w:val="24"/>
        </w:rPr>
        <w:t xml:space="preserve"> </w:t>
      </w:r>
      <w:r w:rsidR="00860C87" w:rsidRPr="007F32A3">
        <w:rPr>
          <w:rFonts w:ascii="Times New Roman" w:hAnsi="Times New Roman" w:cs="Times New Roman"/>
          <w:kern w:val="0"/>
          <w:szCs w:val="24"/>
        </w:rPr>
        <w:t>Goodson</w:t>
      </w:r>
      <w:r w:rsidR="009046BA" w:rsidRPr="007F32A3">
        <w:rPr>
          <w:rFonts w:ascii="Times New Roman" w:hAnsi="Times New Roman" w:cs="Times New Roman"/>
          <w:kern w:val="0"/>
          <w:szCs w:val="24"/>
        </w:rPr>
        <w:t>,</w:t>
      </w:r>
      <w:r w:rsidR="00860C87" w:rsidRPr="007F32A3">
        <w:rPr>
          <w:rFonts w:ascii="Times New Roman" w:hAnsi="Times New Roman" w:cs="Times New Roman"/>
          <w:kern w:val="0"/>
          <w:szCs w:val="24"/>
        </w:rPr>
        <w:t xml:space="preserve"> 2017; Brasel, Doxey, Grenier, </w:t>
      </w:r>
      <w:r w:rsidR="00AE3D06" w:rsidRPr="007F32A3">
        <w:rPr>
          <w:rFonts w:ascii="Times New Roman" w:hAnsi="Times New Roman" w:cs="Times New Roman"/>
          <w:kern w:val="0"/>
          <w:szCs w:val="24"/>
        </w:rPr>
        <w:t>and</w:t>
      </w:r>
      <w:r w:rsidR="009046BA" w:rsidRPr="007F32A3">
        <w:rPr>
          <w:rFonts w:ascii="Times New Roman" w:hAnsi="Times New Roman" w:cs="Times New Roman"/>
          <w:kern w:val="0"/>
          <w:szCs w:val="24"/>
        </w:rPr>
        <w:t xml:space="preserve"> </w:t>
      </w:r>
      <w:r w:rsidR="00860C87" w:rsidRPr="007F32A3">
        <w:rPr>
          <w:rFonts w:ascii="Times New Roman" w:hAnsi="Times New Roman" w:cs="Times New Roman"/>
          <w:kern w:val="0"/>
          <w:szCs w:val="24"/>
        </w:rPr>
        <w:t>Reffett</w:t>
      </w:r>
      <w:r w:rsidR="00604F49" w:rsidRPr="007F32A3">
        <w:rPr>
          <w:rFonts w:ascii="Times New Roman" w:hAnsi="Times New Roman" w:cs="Times New Roman"/>
          <w:kern w:val="0"/>
          <w:szCs w:val="24"/>
        </w:rPr>
        <w:t>,</w:t>
      </w:r>
      <w:r w:rsidR="00860C87" w:rsidRPr="007F32A3">
        <w:rPr>
          <w:rFonts w:ascii="Times New Roman" w:hAnsi="Times New Roman" w:cs="Times New Roman"/>
          <w:kern w:val="0"/>
          <w:szCs w:val="24"/>
        </w:rPr>
        <w:t xml:space="preserve"> 2016; Gimbar et al.</w:t>
      </w:r>
      <w:r w:rsidR="009046BA" w:rsidRPr="007F32A3">
        <w:rPr>
          <w:rFonts w:ascii="Times New Roman" w:hAnsi="Times New Roman" w:cs="Times New Roman"/>
          <w:kern w:val="0"/>
          <w:szCs w:val="24"/>
        </w:rPr>
        <w:t>,</w:t>
      </w:r>
      <w:r w:rsidR="00860C87" w:rsidRPr="007F32A3">
        <w:rPr>
          <w:rFonts w:ascii="Times New Roman" w:hAnsi="Times New Roman" w:cs="Times New Roman"/>
          <w:kern w:val="0"/>
          <w:szCs w:val="24"/>
        </w:rPr>
        <w:t xml:space="preserve"> 2016).</w:t>
      </w:r>
      <w:r w:rsidR="00494A8E" w:rsidRPr="007F32A3">
        <w:rPr>
          <w:rFonts w:ascii="Times New Roman" w:hAnsi="Times New Roman" w:cs="Times New Roman"/>
          <w:kern w:val="0"/>
          <w:szCs w:val="24"/>
        </w:rPr>
        <w:t xml:space="preserve"> </w:t>
      </w:r>
    </w:p>
    <w:p w:rsidR="00F8635A" w:rsidRPr="007F32A3" w:rsidRDefault="00462A97" w:rsidP="0061290E">
      <w:pPr>
        <w:autoSpaceDE w:val="0"/>
        <w:autoSpaceDN w:val="0"/>
        <w:adjustRightInd w:val="0"/>
        <w:snapToGrid w:val="0"/>
        <w:spacing w:beforeLines="50" w:before="180" w:after="50" w:line="480" w:lineRule="auto"/>
        <w:ind w:firstLineChars="200" w:firstLine="480"/>
        <w:jc w:val="both"/>
        <w:rPr>
          <w:rFonts w:ascii="Times New Roman" w:hAnsi="Times New Roman" w:cs="Times New Roman"/>
          <w:kern w:val="0"/>
          <w:szCs w:val="24"/>
        </w:rPr>
      </w:pPr>
      <w:r w:rsidRPr="007F32A3">
        <w:rPr>
          <w:rFonts w:ascii="Times New Roman" w:hAnsi="Times New Roman" w:cs="Times New Roman"/>
          <w:kern w:val="0"/>
          <w:szCs w:val="24"/>
        </w:rPr>
        <w:t xml:space="preserve">Since 2017, </w:t>
      </w:r>
      <w:r w:rsidR="00C30266" w:rsidRPr="007F32A3">
        <w:rPr>
          <w:rFonts w:ascii="Times New Roman" w:hAnsi="Times New Roman" w:cs="Times New Roman"/>
          <w:kern w:val="0"/>
          <w:szCs w:val="24"/>
        </w:rPr>
        <w:t>PC</w:t>
      </w:r>
      <w:r w:rsidRPr="007F32A3">
        <w:rPr>
          <w:rFonts w:ascii="Times New Roman" w:hAnsi="Times New Roman" w:cs="Times New Roman"/>
          <w:kern w:val="0"/>
          <w:szCs w:val="24"/>
        </w:rPr>
        <w:t>AOB</w:t>
      </w:r>
      <w:r w:rsidR="009046BA" w:rsidRPr="007F32A3">
        <w:rPr>
          <w:rStyle w:val="a5"/>
          <w:rFonts w:ascii="Times New Roman" w:hAnsi="Times New Roman" w:cs="Times New Roman"/>
          <w:kern w:val="0"/>
        </w:rPr>
        <w:footnoteReference w:id="1"/>
      </w:r>
      <w:r w:rsidR="009046BA" w:rsidRPr="007F32A3">
        <w:rPr>
          <w:rFonts w:ascii="Times New Roman" w:hAnsi="Times New Roman" w:cs="Times New Roman"/>
          <w:kern w:val="0"/>
          <w:szCs w:val="24"/>
        </w:rPr>
        <w:t xml:space="preserve"> </w:t>
      </w:r>
      <w:r w:rsidRPr="007F32A3">
        <w:rPr>
          <w:rFonts w:ascii="Times New Roman" w:hAnsi="Times New Roman" w:cs="Times New Roman"/>
          <w:kern w:val="0"/>
          <w:szCs w:val="24"/>
        </w:rPr>
        <w:t xml:space="preserve">required that </w:t>
      </w:r>
      <w:r w:rsidR="00C30266" w:rsidRPr="007F32A3">
        <w:rPr>
          <w:rFonts w:ascii="Times New Roman" w:hAnsi="Times New Roman" w:cs="Times New Roman"/>
          <w:kern w:val="0"/>
          <w:szCs w:val="24"/>
        </w:rPr>
        <w:t xml:space="preserve">the critical audit matters (CAMs) </w:t>
      </w:r>
      <w:r w:rsidRPr="007F32A3">
        <w:rPr>
          <w:rFonts w:ascii="Times New Roman" w:hAnsi="Times New Roman" w:cs="Times New Roman"/>
          <w:kern w:val="0"/>
          <w:szCs w:val="24"/>
        </w:rPr>
        <w:t>must</w:t>
      </w:r>
      <w:r w:rsidR="00C30266" w:rsidRPr="007F32A3">
        <w:rPr>
          <w:rFonts w:ascii="Times New Roman" w:hAnsi="Times New Roman" w:cs="Times New Roman"/>
          <w:kern w:val="0"/>
          <w:szCs w:val="24"/>
        </w:rPr>
        <w:t xml:space="preserve"> be included in </w:t>
      </w:r>
      <w:r w:rsidR="009046BA" w:rsidRPr="007F32A3">
        <w:rPr>
          <w:rFonts w:ascii="Times New Roman" w:hAnsi="Times New Roman" w:cs="Times New Roman"/>
          <w:kern w:val="0"/>
          <w:szCs w:val="24"/>
        </w:rPr>
        <w:t xml:space="preserve">an </w:t>
      </w:r>
      <w:r w:rsidR="00C30266" w:rsidRPr="007F32A3">
        <w:rPr>
          <w:rFonts w:ascii="Times New Roman" w:hAnsi="Times New Roman" w:cs="Times New Roman"/>
          <w:kern w:val="0"/>
          <w:szCs w:val="24"/>
        </w:rPr>
        <w:t>auditor report</w:t>
      </w:r>
      <w:r w:rsidRPr="007F32A3">
        <w:rPr>
          <w:rFonts w:ascii="Times New Roman" w:hAnsi="Times New Roman" w:cs="Times New Roman"/>
          <w:kern w:val="0"/>
          <w:szCs w:val="24"/>
        </w:rPr>
        <w:t xml:space="preserve">, which </w:t>
      </w:r>
      <w:r w:rsidR="00C30266" w:rsidRPr="007F32A3">
        <w:rPr>
          <w:rFonts w:ascii="Times New Roman" w:hAnsi="Times New Roman" w:cs="Times New Roman"/>
          <w:kern w:val="0"/>
          <w:szCs w:val="24"/>
        </w:rPr>
        <w:t>is a discussion of matters related to accounts or disclosures that are material to financial statements</w:t>
      </w:r>
      <w:r w:rsidR="009046BA" w:rsidRPr="007F32A3">
        <w:rPr>
          <w:rFonts w:ascii="Times New Roman" w:hAnsi="Times New Roman" w:cs="Times New Roman"/>
          <w:kern w:val="0"/>
          <w:szCs w:val="24"/>
        </w:rPr>
        <w:t xml:space="preserve"> </w:t>
      </w:r>
      <w:r w:rsidR="00C30266" w:rsidRPr="007F32A3">
        <w:rPr>
          <w:rFonts w:ascii="Times New Roman" w:hAnsi="Times New Roman" w:cs="Times New Roman"/>
          <w:kern w:val="0"/>
          <w:szCs w:val="24"/>
        </w:rPr>
        <w:t>and involve</w:t>
      </w:r>
      <w:r w:rsidR="009046BA" w:rsidRPr="007F32A3">
        <w:rPr>
          <w:rFonts w:ascii="Times New Roman" w:hAnsi="Times New Roman" w:cs="Times New Roman"/>
          <w:kern w:val="0"/>
          <w:szCs w:val="24"/>
        </w:rPr>
        <w:t xml:space="preserve"> </w:t>
      </w:r>
      <w:r w:rsidR="00C30266" w:rsidRPr="007F32A3">
        <w:rPr>
          <w:rFonts w:ascii="Times New Roman" w:hAnsi="Times New Roman" w:cs="Times New Roman"/>
          <w:kern w:val="0"/>
          <w:szCs w:val="24"/>
        </w:rPr>
        <w:t>especially challenging, subjective, or complex auditor judgment.</w:t>
      </w:r>
      <w:r w:rsidR="00680773" w:rsidRPr="007F32A3">
        <w:rPr>
          <w:rFonts w:ascii="Times New Roman" w:hAnsi="Times New Roman" w:cs="Times New Roman"/>
          <w:kern w:val="0"/>
          <w:szCs w:val="24"/>
        </w:rPr>
        <w:t xml:space="preserve"> </w:t>
      </w:r>
      <w:r w:rsidRPr="007F32A3">
        <w:rPr>
          <w:rFonts w:ascii="Times New Roman" w:hAnsi="Times New Roman" w:cs="Times New Roman"/>
          <w:kern w:val="0"/>
          <w:szCs w:val="24"/>
        </w:rPr>
        <w:t>P</w:t>
      </w:r>
      <w:r w:rsidR="00680773" w:rsidRPr="007F32A3">
        <w:rPr>
          <w:rFonts w:ascii="Times New Roman" w:hAnsi="Times New Roman" w:cs="Times New Roman"/>
          <w:kern w:val="0"/>
          <w:szCs w:val="24"/>
        </w:rPr>
        <w:t xml:space="preserve">rior studies provide mixed results regarding the incremental informativeness of </w:t>
      </w:r>
      <w:r w:rsidR="00B21D1D" w:rsidRPr="007F32A3">
        <w:rPr>
          <w:rFonts w:ascii="Times New Roman" w:hAnsi="Times New Roman" w:cs="Times New Roman"/>
          <w:kern w:val="0"/>
          <w:szCs w:val="24"/>
        </w:rPr>
        <w:t>KAM</w:t>
      </w:r>
      <w:r w:rsidR="00680773" w:rsidRPr="007F32A3">
        <w:rPr>
          <w:rFonts w:ascii="Times New Roman" w:hAnsi="Times New Roman" w:cs="Times New Roman"/>
          <w:kern w:val="0"/>
          <w:szCs w:val="24"/>
        </w:rPr>
        <w:t xml:space="preserve"> (e.g., </w:t>
      </w:r>
      <w:r w:rsidR="008C15A6" w:rsidRPr="007F32A3">
        <w:rPr>
          <w:rFonts w:ascii="Times New Roman" w:hAnsi="Times New Roman" w:cs="Times New Roman"/>
          <w:kern w:val="0"/>
          <w:szCs w:val="24"/>
        </w:rPr>
        <w:t xml:space="preserve">Boolaky </w:t>
      </w:r>
      <w:r w:rsidR="00AE3D06" w:rsidRPr="007F32A3">
        <w:rPr>
          <w:rFonts w:ascii="Times New Roman" w:hAnsi="Times New Roman" w:cs="Times New Roman"/>
          <w:kern w:val="0"/>
          <w:szCs w:val="24"/>
        </w:rPr>
        <w:t>and</w:t>
      </w:r>
      <w:r w:rsidR="009046BA" w:rsidRPr="007F32A3">
        <w:rPr>
          <w:rFonts w:ascii="Times New Roman" w:hAnsi="Times New Roman" w:cs="Times New Roman"/>
          <w:kern w:val="0"/>
          <w:szCs w:val="24"/>
        </w:rPr>
        <w:t xml:space="preserve"> </w:t>
      </w:r>
      <w:r w:rsidR="008C15A6" w:rsidRPr="007F32A3">
        <w:rPr>
          <w:rFonts w:ascii="Times New Roman" w:hAnsi="Times New Roman" w:cs="Times New Roman"/>
          <w:kern w:val="0"/>
          <w:szCs w:val="24"/>
        </w:rPr>
        <w:t>Quick</w:t>
      </w:r>
      <w:r w:rsidR="00604F49" w:rsidRPr="007F32A3">
        <w:rPr>
          <w:rFonts w:ascii="Times New Roman" w:hAnsi="Times New Roman" w:cs="Times New Roman"/>
          <w:kern w:val="0"/>
          <w:szCs w:val="24"/>
        </w:rPr>
        <w:t>,</w:t>
      </w:r>
      <w:r w:rsidR="008C15A6" w:rsidRPr="007F32A3">
        <w:rPr>
          <w:rFonts w:ascii="Times New Roman" w:hAnsi="Times New Roman" w:cs="Times New Roman"/>
          <w:kern w:val="0"/>
          <w:szCs w:val="24"/>
        </w:rPr>
        <w:t xml:space="preserve"> 2016; Lennox, Schmidt, </w:t>
      </w:r>
      <w:r w:rsidR="00AE3D06" w:rsidRPr="007F32A3">
        <w:rPr>
          <w:rFonts w:ascii="Times New Roman" w:hAnsi="Times New Roman" w:cs="Times New Roman"/>
          <w:kern w:val="0"/>
          <w:szCs w:val="24"/>
        </w:rPr>
        <w:t>and</w:t>
      </w:r>
      <w:r w:rsidR="009046BA" w:rsidRPr="007F32A3">
        <w:rPr>
          <w:rFonts w:ascii="Times New Roman" w:hAnsi="Times New Roman" w:cs="Times New Roman"/>
          <w:kern w:val="0"/>
          <w:szCs w:val="24"/>
        </w:rPr>
        <w:t xml:space="preserve"> </w:t>
      </w:r>
      <w:r w:rsidR="008C15A6" w:rsidRPr="007F32A3">
        <w:rPr>
          <w:rFonts w:ascii="Times New Roman" w:hAnsi="Times New Roman" w:cs="Times New Roman"/>
          <w:kern w:val="0"/>
          <w:szCs w:val="24"/>
        </w:rPr>
        <w:t>Thompson</w:t>
      </w:r>
      <w:r w:rsidR="00604F49" w:rsidRPr="007F32A3">
        <w:rPr>
          <w:rFonts w:ascii="Times New Roman" w:hAnsi="Times New Roman" w:cs="Times New Roman"/>
          <w:kern w:val="0"/>
          <w:szCs w:val="24"/>
        </w:rPr>
        <w:t>,</w:t>
      </w:r>
      <w:r w:rsidR="008C15A6" w:rsidRPr="007F32A3">
        <w:rPr>
          <w:rFonts w:ascii="Times New Roman" w:hAnsi="Times New Roman" w:cs="Times New Roman"/>
          <w:kern w:val="0"/>
          <w:szCs w:val="24"/>
        </w:rPr>
        <w:t xml:space="preserve"> 2015; </w:t>
      </w:r>
      <w:r w:rsidR="00680773" w:rsidRPr="007F32A3">
        <w:rPr>
          <w:rFonts w:ascii="Times New Roman" w:hAnsi="Times New Roman" w:cs="Times New Roman"/>
          <w:kern w:val="0"/>
          <w:szCs w:val="24"/>
        </w:rPr>
        <w:t>Chri</w:t>
      </w:r>
      <w:r w:rsidR="008C15A6" w:rsidRPr="007F32A3">
        <w:rPr>
          <w:rFonts w:ascii="Times New Roman" w:hAnsi="Times New Roman" w:cs="Times New Roman"/>
          <w:kern w:val="0"/>
          <w:szCs w:val="24"/>
        </w:rPr>
        <w:t xml:space="preserve">stensen, Glover, </w:t>
      </w:r>
      <w:r w:rsidR="00AE3D06" w:rsidRPr="007F32A3">
        <w:rPr>
          <w:rFonts w:ascii="Times New Roman" w:hAnsi="Times New Roman" w:cs="Times New Roman"/>
          <w:kern w:val="0"/>
          <w:szCs w:val="24"/>
        </w:rPr>
        <w:t>and</w:t>
      </w:r>
      <w:r w:rsidR="009046BA" w:rsidRPr="007F32A3">
        <w:rPr>
          <w:rFonts w:ascii="Times New Roman" w:hAnsi="Times New Roman" w:cs="Times New Roman"/>
          <w:kern w:val="0"/>
          <w:szCs w:val="24"/>
        </w:rPr>
        <w:t xml:space="preserve"> </w:t>
      </w:r>
      <w:r w:rsidR="008C15A6" w:rsidRPr="007F32A3">
        <w:rPr>
          <w:rFonts w:ascii="Times New Roman" w:hAnsi="Times New Roman" w:cs="Times New Roman"/>
          <w:kern w:val="0"/>
          <w:szCs w:val="24"/>
        </w:rPr>
        <w:t>Wolfe</w:t>
      </w:r>
      <w:r w:rsidR="009046BA" w:rsidRPr="007F32A3">
        <w:rPr>
          <w:rFonts w:ascii="Times New Roman" w:hAnsi="Times New Roman" w:cs="Times New Roman"/>
          <w:kern w:val="0"/>
          <w:szCs w:val="24"/>
        </w:rPr>
        <w:t>,</w:t>
      </w:r>
      <w:r w:rsidR="008C15A6" w:rsidRPr="007F32A3">
        <w:rPr>
          <w:rFonts w:ascii="Times New Roman" w:hAnsi="Times New Roman" w:cs="Times New Roman"/>
          <w:kern w:val="0"/>
          <w:szCs w:val="24"/>
        </w:rPr>
        <w:t xml:space="preserve"> 2014</w:t>
      </w:r>
      <w:r w:rsidRPr="007F32A3">
        <w:rPr>
          <w:rFonts w:ascii="Times New Roman" w:hAnsi="Times New Roman" w:cs="Times New Roman"/>
          <w:kern w:val="0"/>
          <w:szCs w:val="24"/>
        </w:rPr>
        <w:t xml:space="preserve">), we argue these result maybe due to </w:t>
      </w:r>
      <w:r w:rsidR="00BD3AE0" w:rsidRPr="007F32A3">
        <w:rPr>
          <w:rFonts w:ascii="Times New Roman" w:hAnsi="Times New Roman" w:cs="Times New Roman"/>
          <w:kern w:val="0"/>
          <w:szCs w:val="24"/>
        </w:rPr>
        <w:t>the audit quality is not good enough to “insight” the KAM and then</w:t>
      </w:r>
      <w:r w:rsidRPr="007F32A3">
        <w:rPr>
          <w:rFonts w:ascii="Times New Roman" w:hAnsi="Times New Roman" w:cs="Times New Roman"/>
          <w:kern w:val="0"/>
          <w:szCs w:val="24"/>
        </w:rPr>
        <w:t xml:space="preserve"> </w:t>
      </w:r>
      <w:r w:rsidR="00BD3AE0" w:rsidRPr="007F32A3">
        <w:rPr>
          <w:rFonts w:ascii="Times New Roman" w:hAnsi="Times New Roman" w:cs="Times New Roman"/>
          <w:kern w:val="0"/>
          <w:szCs w:val="24"/>
        </w:rPr>
        <w:t xml:space="preserve">not able to provide incremental information to users. </w:t>
      </w:r>
      <w:r w:rsidR="008C15A6" w:rsidRPr="007F32A3">
        <w:rPr>
          <w:rFonts w:ascii="Times New Roman" w:hAnsi="Times New Roman" w:cs="Times New Roman"/>
          <w:bCs/>
          <w:iCs/>
          <w:szCs w:val="24"/>
        </w:rPr>
        <w:t>As</w:t>
      </w:r>
      <w:r w:rsidR="00F8635A" w:rsidRPr="007F32A3">
        <w:rPr>
          <w:rFonts w:ascii="Times New Roman" w:hAnsi="Times New Roman" w:cs="Times New Roman"/>
          <w:bCs/>
          <w:iCs/>
          <w:szCs w:val="24"/>
        </w:rPr>
        <w:t xml:space="preserve"> </w:t>
      </w:r>
      <w:r w:rsidR="00B21D1D" w:rsidRPr="007F32A3">
        <w:rPr>
          <w:rFonts w:ascii="Times New Roman" w:hAnsi="Times New Roman" w:cs="Times New Roman"/>
          <w:bCs/>
          <w:iCs/>
          <w:szCs w:val="24"/>
        </w:rPr>
        <w:t>KAM</w:t>
      </w:r>
      <w:r w:rsidR="00F8635A" w:rsidRPr="007F32A3">
        <w:rPr>
          <w:rFonts w:ascii="Times New Roman" w:hAnsi="Times New Roman" w:cs="Times New Roman"/>
          <w:bCs/>
          <w:iCs/>
          <w:szCs w:val="24"/>
        </w:rPr>
        <w:t xml:space="preserve"> are expected to inform </w:t>
      </w:r>
      <w:r w:rsidR="009046BA" w:rsidRPr="007F32A3">
        <w:rPr>
          <w:rFonts w:ascii="Times New Roman" w:hAnsi="Times New Roman" w:cs="Times New Roman"/>
          <w:bCs/>
          <w:iCs/>
          <w:szCs w:val="24"/>
        </w:rPr>
        <w:t xml:space="preserve">on </w:t>
      </w:r>
      <w:r w:rsidR="00F8635A" w:rsidRPr="007F32A3">
        <w:rPr>
          <w:rFonts w:ascii="Times New Roman" w:hAnsi="Times New Roman" w:cs="Times New Roman"/>
          <w:bCs/>
          <w:iCs/>
          <w:szCs w:val="24"/>
        </w:rPr>
        <w:t xml:space="preserve">matters of the greatest significance </w:t>
      </w:r>
      <w:r w:rsidR="00BD3AE0" w:rsidRPr="007F32A3">
        <w:rPr>
          <w:rFonts w:ascii="Times New Roman" w:hAnsi="Times New Roman" w:cs="Times New Roman"/>
          <w:bCs/>
          <w:iCs/>
          <w:szCs w:val="24"/>
        </w:rPr>
        <w:t>during</w:t>
      </w:r>
      <w:r w:rsidR="00F8635A" w:rsidRPr="007F32A3">
        <w:rPr>
          <w:rFonts w:ascii="Times New Roman" w:hAnsi="Times New Roman" w:cs="Times New Roman"/>
          <w:bCs/>
          <w:iCs/>
          <w:szCs w:val="24"/>
        </w:rPr>
        <w:t xml:space="preserve"> an audit</w:t>
      </w:r>
      <w:r w:rsidR="008C15A6" w:rsidRPr="007F32A3">
        <w:rPr>
          <w:rFonts w:ascii="Times New Roman" w:hAnsi="Times New Roman" w:cs="Times New Roman"/>
          <w:bCs/>
          <w:iCs/>
          <w:szCs w:val="24"/>
        </w:rPr>
        <w:t>,</w:t>
      </w:r>
      <w:r w:rsidR="00F8635A" w:rsidRPr="007F32A3">
        <w:rPr>
          <w:rFonts w:ascii="Times New Roman" w:hAnsi="Times New Roman" w:cs="Times New Roman"/>
          <w:bCs/>
          <w:iCs/>
          <w:szCs w:val="24"/>
        </w:rPr>
        <w:t xml:space="preserve"> </w:t>
      </w:r>
      <w:r w:rsidR="00F8635A" w:rsidRPr="007F32A3">
        <w:rPr>
          <w:rFonts w:ascii="Times New Roman" w:hAnsi="Times New Roman" w:cs="Times New Roman"/>
          <w:szCs w:val="24"/>
        </w:rPr>
        <w:t xml:space="preserve">before exploring the question regarding whether investors </w:t>
      </w:r>
      <w:r w:rsidR="00F8635A" w:rsidRPr="007F32A3">
        <w:rPr>
          <w:rFonts w:ascii="Times New Roman" w:hAnsi="Times New Roman" w:cs="Times New Roman"/>
          <w:szCs w:val="24"/>
        </w:rPr>
        <w:lastRenderedPageBreak/>
        <w:t>will obtain useful information from additional matter disclosures, the anterior consideration may</w:t>
      </w:r>
      <w:r w:rsidR="008C15A6" w:rsidRPr="007F32A3">
        <w:rPr>
          <w:rFonts w:ascii="Times New Roman" w:hAnsi="Times New Roman" w:cs="Times New Roman"/>
          <w:szCs w:val="24"/>
        </w:rPr>
        <w:t xml:space="preserve"> be </w:t>
      </w:r>
      <w:r w:rsidR="009046BA" w:rsidRPr="007F32A3">
        <w:rPr>
          <w:rFonts w:ascii="Times New Roman" w:hAnsi="Times New Roman" w:cs="Times New Roman"/>
          <w:szCs w:val="24"/>
        </w:rPr>
        <w:t xml:space="preserve">in regard to </w:t>
      </w:r>
      <w:r w:rsidR="008C15A6" w:rsidRPr="007F32A3">
        <w:rPr>
          <w:rFonts w:ascii="Times New Roman" w:hAnsi="Times New Roman" w:cs="Times New Roman"/>
          <w:szCs w:val="24"/>
        </w:rPr>
        <w:t>how</w:t>
      </w:r>
      <w:r w:rsidR="00F8635A" w:rsidRPr="007F32A3">
        <w:rPr>
          <w:rFonts w:ascii="Times New Roman" w:hAnsi="Times New Roman" w:cs="Times New Roman"/>
          <w:szCs w:val="24"/>
        </w:rPr>
        <w:t xml:space="preserve"> audit quality affect</w:t>
      </w:r>
      <w:r w:rsidR="009046BA" w:rsidRPr="007F32A3">
        <w:rPr>
          <w:rFonts w:ascii="Times New Roman" w:hAnsi="Times New Roman" w:cs="Times New Roman"/>
          <w:szCs w:val="24"/>
        </w:rPr>
        <w:t>s</w:t>
      </w:r>
      <w:r w:rsidR="00F8635A" w:rsidRPr="007F32A3">
        <w:rPr>
          <w:rFonts w:ascii="Times New Roman" w:hAnsi="Times New Roman" w:cs="Times New Roman"/>
          <w:szCs w:val="24"/>
        </w:rPr>
        <w:t xml:space="preserve"> the disclosure quality of </w:t>
      </w:r>
      <w:r w:rsidR="00B21D1D" w:rsidRPr="007F32A3">
        <w:rPr>
          <w:rFonts w:ascii="Times New Roman" w:hAnsi="Times New Roman" w:cs="Times New Roman"/>
          <w:szCs w:val="24"/>
        </w:rPr>
        <w:t>KAM</w:t>
      </w:r>
      <w:r w:rsidR="00F8635A" w:rsidRPr="007F32A3">
        <w:rPr>
          <w:rFonts w:ascii="Times New Roman" w:hAnsi="Times New Roman" w:cs="Times New Roman"/>
          <w:szCs w:val="24"/>
        </w:rPr>
        <w:t xml:space="preserve">. </w:t>
      </w:r>
      <w:r w:rsidR="00F8635A" w:rsidRPr="007F32A3">
        <w:rPr>
          <w:rFonts w:ascii="Times New Roman" w:hAnsi="Times New Roman" w:cs="Times New Roman"/>
          <w:kern w:val="0"/>
          <w:szCs w:val="24"/>
        </w:rPr>
        <w:t>This question is important for standard set</w:t>
      </w:r>
      <w:r w:rsidR="005260DE" w:rsidRPr="007F32A3">
        <w:rPr>
          <w:rFonts w:ascii="Times New Roman" w:hAnsi="Times New Roman" w:cs="Times New Roman"/>
          <w:kern w:val="0"/>
          <w:szCs w:val="24"/>
        </w:rPr>
        <w:t>ters and the research community</w:t>
      </w:r>
      <w:r w:rsidR="00F8635A" w:rsidRPr="007F32A3">
        <w:rPr>
          <w:rFonts w:ascii="Times New Roman" w:hAnsi="Times New Roman" w:cs="Times New Roman"/>
          <w:kern w:val="0"/>
          <w:szCs w:val="24"/>
        </w:rPr>
        <w:t xml:space="preserve"> </w:t>
      </w:r>
      <w:r w:rsidR="009046BA" w:rsidRPr="007F32A3">
        <w:rPr>
          <w:rFonts w:ascii="Times New Roman" w:hAnsi="Times New Roman" w:cs="Times New Roman"/>
          <w:kern w:val="0"/>
          <w:szCs w:val="24"/>
        </w:rPr>
        <w:t xml:space="preserve">because </w:t>
      </w:r>
      <w:r w:rsidR="00B21D1D" w:rsidRPr="007F32A3">
        <w:rPr>
          <w:rFonts w:ascii="Times New Roman" w:hAnsi="Times New Roman" w:cs="Times New Roman"/>
          <w:kern w:val="0"/>
          <w:szCs w:val="24"/>
        </w:rPr>
        <w:t>KAM</w:t>
      </w:r>
      <w:r w:rsidR="00F8635A" w:rsidRPr="007F32A3">
        <w:rPr>
          <w:rFonts w:ascii="Times New Roman" w:hAnsi="Times New Roman" w:cs="Times New Roman"/>
          <w:kern w:val="0"/>
          <w:szCs w:val="24"/>
        </w:rPr>
        <w:t xml:space="preserve"> </w:t>
      </w:r>
      <w:r w:rsidR="005260DE" w:rsidRPr="007F32A3">
        <w:rPr>
          <w:rFonts w:ascii="Times New Roman" w:hAnsi="Times New Roman" w:cs="Times New Roman"/>
          <w:kern w:val="0"/>
          <w:szCs w:val="24"/>
        </w:rPr>
        <w:t xml:space="preserve">can hardly increase its informativeness for investors unless </w:t>
      </w:r>
      <w:r w:rsidR="00F8635A" w:rsidRPr="007F32A3">
        <w:rPr>
          <w:rFonts w:ascii="Times New Roman" w:hAnsi="Times New Roman" w:cs="Times New Roman"/>
          <w:kern w:val="0"/>
          <w:szCs w:val="24"/>
        </w:rPr>
        <w:t xml:space="preserve">the information quality revealed by </w:t>
      </w:r>
      <w:r w:rsidR="00B21D1D" w:rsidRPr="007F32A3">
        <w:rPr>
          <w:rFonts w:ascii="Times New Roman" w:hAnsi="Times New Roman" w:cs="Times New Roman"/>
          <w:kern w:val="0"/>
          <w:szCs w:val="24"/>
        </w:rPr>
        <w:t>KAM</w:t>
      </w:r>
      <w:r w:rsidR="00F8635A" w:rsidRPr="007F32A3">
        <w:rPr>
          <w:rFonts w:ascii="Times New Roman" w:hAnsi="Times New Roman" w:cs="Times New Roman"/>
          <w:kern w:val="0"/>
          <w:szCs w:val="24"/>
        </w:rPr>
        <w:t xml:space="preserve"> </w:t>
      </w:r>
      <w:r w:rsidR="005260DE" w:rsidRPr="007F32A3">
        <w:rPr>
          <w:rFonts w:ascii="Times New Roman" w:hAnsi="Times New Roman" w:cs="Times New Roman"/>
          <w:kern w:val="0"/>
          <w:szCs w:val="24"/>
        </w:rPr>
        <w:t>is fine</w:t>
      </w:r>
      <w:r w:rsidR="00F8635A" w:rsidRPr="007F32A3">
        <w:rPr>
          <w:rFonts w:ascii="Times New Roman" w:hAnsi="Times New Roman" w:cs="Times New Roman"/>
          <w:kern w:val="0"/>
          <w:szCs w:val="24"/>
        </w:rPr>
        <w:t>.</w:t>
      </w:r>
    </w:p>
    <w:p w:rsidR="000F18BF" w:rsidRPr="007F32A3" w:rsidRDefault="004E33FA" w:rsidP="0061290E">
      <w:pPr>
        <w:autoSpaceDE w:val="0"/>
        <w:autoSpaceDN w:val="0"/>
        <w:adjustRightInd w:val="0"/>
        <w:snapToGrid w:val="0"/>
        <w:spacing w:beforeLines="50" w:before="180" w:after="50" w:line="480" w:lineRule="auto"/>
        <w:ind w:firstLineChars="200" w:firstLine="480"/>
        <w:jc w:val="both"/>
        <w:rPr>
          <w:rFonts w:ascii="Times New Roman" w:hAnsi="Times New Roman" w:cs="Times New Roman"/>
        </w:rPr>
      </w:pPr>
      <w:r w:rsidRPr="007F32A3">
        <w:rPr>
          <w:rFonts w:ascii="Times New Roman" w:hAnsi="Times New Roman" w:cs="Times New Roman"/>
        </w:rPr>
        <w:t xml:space="preserve">In combine of </w:t>
      </w:r>
      <w:r w:rsidR="000F3250" w:rsidRPr="007F32A3">
        <w:rPr>
          <w:rFonts w:ascii="Times New Roman" w:hAnsi="Times New Roman" w:cs="Times New Roman"/>
        </w:rPr>
        <w:t xml:space="preserve">audit quality and the auditing standards related to </w:t>
      </w:r>
      <w:r w:rsidR="00B21D1D" w:rsidRPr="007F32A3">
        <w:rPr>
          <w:rFonts w:ascii="Times New Roman" w:hAnsi="Times New Roman" w:cs="Times New Roman"/>
        </w:rPr>
        <w:t>KAM</w:t>
      </w:r>
      <w:r w:rsidR="000F3250" w:rsidRPr="007F32A3">
        <w:rPr>
          <w:rFonts w:ascii="Times New Roman" w:hAnsi="Times New Roman" w:cs="Times New Roman"/>
        </w:rPr>
        <w:t xml:space="preserve"> disclosure, </w:t>
      </w:r>
      <w:r w:rsidR="00FA17EE" w:rsidRPr="007F32A3">
        <w:rPr>
          <w:rFonts w:ascii="Times New Roman" w:hAnsi="Times New Roman" w:cs="Times New Roman"/>
        </w:rPr>
        <w:t xml:space="preserve">the </w:t>
      </w:r>
      <w:r w:rsidR="000F3250" w:rsidRPr="007F32A3">
        <w:rPr>
          <w:rFonts w:ascii="Times New Roman" w:hAnsi="Times New Roman" w:cs="Times New Roman"/>
        </w:rPr>
        <w:t xml:space="preserve">two factors that </w:t>
      </w:r>
      <w:r w:rsidR="00FA17EE" w:rsidRPr="007F32A3">
        <w:rPr>
          <w:rFonts w:ascii="Times New Roman" w:hAnsi="Times New Roman" w:cs="Times New Roman"/>
        </w:rPr>
        <w:t>mainly</w:t>
      </w:r>
      <w:r w:rsidR="000F3250" w:rsidRPr="007F32A3">
        <w:rPr>
          <w:rFonts w:ascii="Times New Roman" w:hAnsi="Times New Roman" w:cs="Times New Roman"/>
        </w:rPr>
        <w:t xml:space="preserve"> affect the quality of its disclosure</w:t>
      </w:r>
      <w:r w:rsidR="00FA17EE" w:rsidRPr="007F32A3">
        <w:rPr>
          <w:rFonts w:ascii="Times New Roman" w:hAnsi="Times New Roman" w:cs="Times New Roman"/>
        </w:rPr>
        <w:t xml:space="preserve"> should be</w:t>
      </w:r>
      <w:r w:rsidR="009046BA" w:rsidRPr="007F32A3">
        <w:rPr>
          <w:rFonts w:ascii="Times New Roman" w:hAnsi="Times New Roman" w:cs="Times New Roman"/>
        </w:rPr>
        <w:t xml:space="preserve"> </w:t>
      </w:r>
      <w:r w:rsidR="000F3250" w:rsidRPr="007F32A3">
        <w:rPr>
          <w:rFonts w:ascii="Times New Roman" w:hAnsi="Times New Roman" w:cs="Times New Roman"/>
        </w:rPr>
        <w:t xml:space="preserve">the ability of auditors to identify </w:t>
      </w:r>
      <w:r w:rsidR="00B21D1D" w:rsidRPr="007F32A3">
        <w:rPr>
          <w:rFonts w:ascii="Times New Roman" w:hAnsi="Times New Roman" w:cs="Times New Roman"/>
        </w:rPr>
        <w:t>KAM</w:t>
      </w:r>
      <w:r w:rsidR="000F3250" w:rsidRPr="007F32A3">
        <w:rPr>
          <w:rFonts w:ascii="Times New Roman" w:hAnsi="Times New Roman" w:cs="Times New Roman"/>
        </w:rPr>
        <w:t xml:space="preserve"> that are material to the financial statements</w:t>
      </w:r>
      <w:r w:rsidR="009046BA" w:rsidRPr="007F32A3">
        <w:rPr>
          <w:rFonts w:ascii="Times New Roman" w:hAnsi="Times New Roman" w:cs="Times New Roman"/>
        </w:rPr>
        <w:t xml:space="preserve"> </w:t>
      </w:r>
      <w:r w:rsidR="000F3250" w:rsidRPr="007F32A3">
        <w:rPr>
          <w:rFonts w:ascii="Times New Roman" w:hAnsi="Times New Roman" w:cs="Times New Roman"/>
        </w:rPr>
        <w:t xml:space="preserve">and </w:t>
      </w:r>
      <w:r w:rsidR="009046BA" w:rsidRPr="007F32A3">
        <w:rPr>
          <w:rFonts w:ascii="Times New Roman" w:hAnsi="Times New Roman" w:cs="Times New Roman"/>
        </w:rPr>
        <w:t xml:space="preserve">involve </w:t>
      </w:r>
      <w:r w:rsidR="000F3250" w:rsidRPr="007F32A3">
        <w:rPr>
          <w:rFonts w:ascii="Times New Roman" w:hAnsi="Times New Roman" w:cs="Times New Roman"/>
        </w:rPr>
        <w:t>especially challenging, subjective, or complex auditor judgment</w:t>
      </w:r>
      <w:r w:rsidR="009046BA" w:rsidRPr="007F32A3">
        <w:rPr>
          <w:rFonts w:ascii="Times New Roman" w:hAnsi="Times New Roman" w:cs="Times New Roman"/>
        </w:rPr>
        <w:t xml:space="preserve">s </w:t>
      </w:r>
      <w:r w:rsidR="000F3250" w:rsidRPr="007F32A3">
        <w:rPr>
          <w:rFonts w:ascii="Times New Roman" w:hAnsi="Times New Roman" w:cs="Times New Roman"/>
        </w:rPr>
        <w:t xml:space="preserve">and the capacity and independence of auditors to properly disclose these issues. </w:t>
      </w:r>
      <w:r w:rsidR="00B1403F" w:rsidRPr="007F32A3">
        <w:rPr>
          <w:rFonts w:ascii="Times New Roman" w:hAnsi="Times New Roman" w:cs="Times New Roman"/>
        </w:rPr>
        <w:t>Industry specialist auditors</w:t>
      </w:r>
      <w:r w:rsidR="000F3250" w:rsidRPr="007F32A3">
        <w:rPr>
          <w:rFonts w:ascii="Times New Roman" w:hAnsi="Times New Roman" w:cs="Times New Roman"/>
        </w:rPr>
        <w:t xml:space="preserve">, </w:t>
      </w:r>
      <w:r w:rsidR="00B1403F" w:rsidRPr="007F32A3">
        <w:rPr>
          <w:rFonts w:ascii="Times New Roman" w:hAnsi="Times New Roman" w:cs="Times New Roman"/>
        </w:rPr>
        <w:t>according to</w:t>
      </w:r>
      <w:r w:rsidR="000F3250" w:rsidRPr="007F32A3">
        <w:rPr>
          <w:rFonts w:ascii="Times New Roman" w:hAnsi="Times New Roman" w:cs="Times New Roman"/>
        </w:rPr>
        <w:t xml:space="preserve"> experience or reputation aspects, </w:t>
      </w:r>
      <w:r w:rsidR="00B1403F" w:rsidRPr="007F32A3">
        <w:rPr>
          <w:rFonts w:ascii="Times New Roman" w:hAnsi="Times New Roman" w:cs="Times New Roman"/>
        </w:rPr>
        <w:t>are</w:t>
      </w:r>
      <w:r w:rsidR="000F3250" w:rsidRPr="007F32A3">
        <w:rPr>
          <w:rFonts w:ascii="Times New Roman" w:hAnsi="Times New Roman" w:cs="Times New Roman"/>
        </w:rPr>
        <w:t xml:space="preserve"> </w:t>
      </w:r>
      <w:r w:rsidR="00B1403F" w:rsidRPr="007F32A3">
        <w:rPr>
          <w:rFonts w:ascii="Times New Roman" w:hAnsi="Times New Roman" w:cs="Times New Roman"/>
        </w:rPr>
        <w:t>demonstrated</w:t>
      </w:r>
      <w:r w:rsidR="000F3250" w:rsidRPr="007F32A3">
        <w:rPr>
          <w:rFonts w:ascii="Times New Roman" w:hAnsi="Times New Roman" w:cs="Times New Roman"/>
        </w:rPr>
        <w:t xml:space="preserve"> to </w:t>
      </w:r>
      <w:r w:rsidR="00B1403F" w:rsidRPr="007F32A3">
        <w:rPr>
          <w:rFonts w:ascii="Times New Roman" w:hAnsi="Times New Roman" w:cs="Times New Roman"/>
        </w:rPr>
        <w:t>process better capability and higher</w:t>
      </w:r>
      <w:r w:rsidR="000F3250" w:rsidRPr="007F32A3">
        <w:rPr>
          <w:rFonts w:ascii="Times New Roman" w:hAnsi="Times New Roman" w:cs="Times New Roman"/>
        </w:rPr>
        <w:t xml:space="preserve"> </w:t>
      </w:r>
      <w:r w:rsidR="00604F49" w:rsidRPr="007F32A3">
        <w:rPr>
          <w:rFonts w:ascii="Times New Roman" w:hAnsi="Times New Roman" w:cs="Times New Roman"/>
        </w:rPr>
        <w:t xml:space="preserve">independence </w:t>
      </w:r>
      <w:r w:rsidR="00FA17EE" w:rsidRPr="007F32A3">
        <w:rPr>
          <w:rFonts w:ascii="Times New Roman" w:hAnsi="Times New Roman" w:cs="Times New Roman"/>
        </w:rPr>
        <w:t xml:space="preserve">(Liu, Xie, Chang, </w:t>
      </w:r>
      <w:r w:rsidR="00AE3D06" w:rsidRPr="007F32A3">
        <w:rPr>
          <w:rFonts w:ascii="Times New Roman" w:hAnsi="Times New Roman" w:cs="Times New Roman"/>
        </w:rPr>
        <w:t>and</w:t>
      </w:r>
      <w:r w:rsidR="00604F49" w:rsidRPr="007F32A3">
        <w:rPr>
          <w:rFonts w:ascii="Times New Roman" w:hAnsi="Times New Roman" w:cs="Times New Roman"/>
        </w:rPr>
        <w:t xml:space="preserve"> </w:t>
      </w:r>
      <w:r w:rsidR="00FA17EE" w:rsidRPr="007F32A3">
        <w:rPr>
          <w:rFonts w:ascii="Times New Roman" w:hAnsi="Times New Roman" w:cs="Times New Roman"/>
        </w:rPr>
        <w:t>Forgione</w:t>
      </w:r>
      <w:r w:rsidR="00604F49" w:rsidRPr="007F32A3">
        <w:rPr>
          <w:rFonts w:ascii="Times New Roman" w:hAnsi="Times New Roman" w:cs="Times New Roman"/>
        </w:rPr>
        <w:t>,</w:t>
      </w:r>
      <w:r w:rsidR="00FA17EE" w:rsidRPr="007F32A3">
        <w:rPr>
          <w:rFonts w:ascii="Times New Roman" w:hAnsi="Times New Roman" w:cs="Times New Roman"/>
        </w:rPr>
        <w:t xml:space="preserve"> 2017; Rose-Green, Huang, </w:t>
      </w:r>
      <w:r w:rsidR="00AE3D06" w:rsidRPr="007F32A3">
        <w:rPr>
          <w:rFonts w:ascii="Times New Roman" w:hAnsi="Times New Roman" w:cs="Times New Roman"/>
        </w:rPr>
        <w:t>and</w:t>
      </w:r>
      <w:r w:rsidR="00604F49" w:rsidRPr="007F32A3">
        <w:rPr>
          <w:rFonts w:ascii="Times New Roman" w:hAnsi="Times New Roman" w:cs="Times New Roman"/>
        </w:rPr>
        <w:t xml:space="preserve"> </w:t>
      </w:r>
      <w:r w:rsidR="00FA17EE" w:rsidRPr="007F32A3">
        <w:rPr>
          <w:rFonts w:ascii="Times New Roman" w:hAnsi="Times New Roman" w:cs="Times New Roman"/>
        </w:rPr>
        <w:t>Lee</w:t>
      </w:r>
      <w:r w:rsidR="00604F49" w:rsidRPr="007F32A3">
        <w:rPr>
          <w:rFonts w:ascii="Times New Roman" w:hAnsi="Times New Roman" w:cs="Times New Roman"/>
        </w:rPr>
        <w:t>,</w:t>
      </w:r>
      <w:r w:rsidR="00FA17EE" w:rsidRPr="007F32A3">
        <w:rPr>
          <w:rFonts w:ascii="Times New Roman" w:hAnsi="Times New Roman" w:cs="Times New Roman"/>
        </w:rPr>
        <w:t xml:space="preserve"> 2011; Reichelt </w:t>
      </w:r>
      <w:r w:rsidR="00AE3D06" w:rsidRPr="007F32A3">
        <w:rPr>
          <w:rFonts w:ascii="Times New Roman" w:hAnsi="Times New Roman" w:cs="Times New Roman"/>
        </w:rPr>
        <w:t>and</w:t>
      </w:r>
      <w:r w:rsidR="00604F49" w:rsidRPr="007F32A3">
        <w:rPr>
          <w:rFonts w:ascii="Times New Roman" w:hAnsi="Times New Roman" w:cs="Times New Roman"/>
        </w:rPr>
        <w:t xml:space="preserve"> </w:t>
      </w:r>
      <w:r w:rsidR="00FA17EE" w:rsidRPr="007F32A3">
        <w:rPr>
          <w:rFonts w:ascii="Times New Roman" w:hAnsi="Times New Roman" w:cs="Times New Roman"/>
        </w:rPr>
        <w:t>Wang</w:t>
      </w:r>
      <w:r w:rsidR="00604F49" w:rsidRPr="007F32A3">
        <w:rPr>
          <w:rFonts w:ascii="Times New Roman" w:hAnsi="Times New Roman" w:cs="Times New Roman"/>
        </w:rPr>
        <w:t>,</w:t>
      </w:r>
      <w:r w:rsidR="00FA17EE" w:rsidRPr="007F32A3">
        <w:rPr>
          <w:rFonts w:ascii="Times New Roman" w:hAnsi="Times New Roman" w:cs="Times New Roman"/>
        </w:rPr>
        <w:t xml:space="preserve"> 2010; Chin </w:t>
      </w:r>
      <w:r w:rsidR="00AE3D06" w:rsidRPr="007F32A3">
        <w:rPr>
          <w:rFonts w:ascii="Times New Roman" w:hAnsi="Times New Roman" w:cs="Times New Roman"/>
        </w:rPr>
        <w:t>and</w:t>
      </w:r>
      <w:r w:rsidR="00604F49" w:rsidRPr="007F32A3">
        <w:rPr>
          <w:rFonts w:ascii="Times New Roman" w:hAnsi="Times New Roman" w:cs="Times New Roman"/>
        </w:rPr>
        <w:t xml:space="preserve"> </w:t>
      </w:r>
      <w:r w:rsidR="00FA17EE" w:rsidRPr="007F32A3">
        <w:rPr>
          <w:rFonts w:ascii="Times New Roman" w:hAnsi="Times New Roman" w:cs="Times New Roman"/>
        </w:rPr>
        <w:t>Chi</w:t>
      </w:r>
      <w:r w:rsidR="00604F49" w:rsidRPr="007F32A3">
        <w:rPr>
          <w:rFonts w:ascii="Times New Roman" w:hAnsi="Times New Roman" w:cs="Times New Roman"/>
        </w:rPr>
        <w:t>,</w:t>
      </w:r>
      <w:r w:rsidR="00FA17EE" w:rsidRPr="007F32A3">
        <w:rPr>
          <w:rFonts w:ascii="Times New Roman" w:hAnsi="Times New Roman" w:cs="Times New Roman"/>
        </w:rPr>
        <w:t xml:space="preserve"> 2009; Gul et al.</w:t>
      </w:r>
      <w:r w:rsidR="00604F49" w:rsidRPr="007F32A3">
        <w:rPr>
          <w:rFonts w:ascii="Times New Roman" w:hAnsi="Times New Roman" w:cs="Times New Roman"/>
        </w:rPr>
        <w:t>,</w:t>
      </w:r>
      <w:r w:rsidR="00FA17EE" w:rsidRPr="007F32A3">
        <w:rPr>
          <w:rFonts w:ascii="Times New Roman" w:hAnsi="Times New Roman" w:cs="Times New Roman"/>
        </w:rPr>
        <w:t xml:space="preserve"> 2009; Lim </w:t>
      </w:r>
      <w:r w:rsidR="00AE3D06" w:rsidRPr="007F32A3">
        <w:rPr>
          <w:rFonts w:ascii="Times New Roman" w:hAnsi="Times New Roman" w:cs="Times New Roman"/>
        </w:rPr>
        <w:t>and</w:t>
      </w:r>
      <w:r w:rsidR="00604F49" w:rsidRPr="007F32A3">
        <w:rPr>
          <w:rFonts w:ascii="Times New Roman" w:hAnsi="Times New Roman" w:cs="Times New Roman"/>
        </w:rPr>
        <w:t xml:space="preserve"> </w:t>
      </w:r>
      <w:r w:rsidR="00FA17EE" w:rsidRPr="007F32A3">
        <w:rPr>
          <w:rFonts w:ascii="Times New Roman" w:hAnsi="Times New Roman" w:cs="Times New Roman"/>
        </w:rPr>
        <w:t>Tan</w:t>
      </w:r>
      <w:r w:rsidR="00604F49" w:rsidRPr="007F32A3">
        <w:rPr>
          <w:rFonts w:ascii="Times New Roman" w:hAnsi="Times New Roman" w:cs="Times New Roman"/>
        </w:rPr>
        <w:t>,</w:t>
      </w:r>
      <w:r w:rsidR="00FA17EE" w:rsidRPr="007F32A3">
        <w:rPr>
          <w:rFonts w:ascii="Times New Roman" w:hAnsi="Times New Roman" w:cs="Times New Roman"/>
        </w:rPr>
        <w:t xml:space="preserve"> 2008; Payne</w:t>
      </w:r>
      <w:r w:rsidR="00604F49" w:rsidRPr="007F32A3">
        <w:rPr>
          <w:rFonts w:ascii="Times New Roman" w:hAnsi="Times New Roman" w:cs="Times New Roman"/>
        </w:rPr>
        <w:t>,</w:t>
      </w:r>
      <w:r w:rsidR="00FA17EE" w:rsidRPr="007F32A3">
        <w:rPr>
          <w:rFonts w:ascii="Times New Roman" w:hAnsi="Times New Roman" w:cs="Times New Roman"/>
        </w:rPr>
        <w:t xml:space="preserve"> 2008; Romanus et al.</w:t>
      </w:r>
      <w:r w:rsidR="00604F49" w:rsidRPr="007F32A3">
        <w:rPr>
          <w:rFonts w:ascii="Times New Roman" w:hAnsi="Times New Roman" w:cs="Times New Roman"/>
        </w:rPr>
        <w:t>,</w:t>
      </w:r>
      <w:r w:rsidR="00FA17EE" w:rsidRPr="007F32A3">
        <w:rPr>
          <w:rFonts w:ascii="Times New Roman" w:hAnsi="Times New Roman" w:cs="Times New Roman"/>
        </w:rPr>
        <w:t xml:space="preserve"> 2008; Krishnan</w:t>
      </w:r>
      <w:r w:rsidR="00604F49" w:rsidRPr="007F32A3">
        <w:rPr>
          <w:rFonts w:ascii="Times New Roman" w:hAnsi="Times New Roman" w:cs="Times New Roman"/>
        </w:rPr>
        <w:t>,</w:t>
      </w:r>
      <w:r w:rsidR="00FA17EE" w:rsidRPr="007F32A3">
        <w:rPr>
          <w:rFonts w:ascii="Times New Roman" w:hAnsi="Times New Roman" w:cs="Times New Roman"/>
        </w:rPr>
        <w:t xml:space="preserve"> 2003; Schauer</w:t>
      </w:r>
      <w:r w:rsidR="00604F49" w:rsidRPr="007F32A3">
        <w:rPr>
          <w:rFonts w:ascii="Times New Roman" w:hAnsi="Times New Roman" w:cs="Times New Roman"/>
        </w:rPr>
        <w:t>,</w:t>
      </w:r>
      <w:r w:rsidR="00FA17EE" w:rsidRPr="007F32A3">
        <w:rPr>
          <w:rFonts w:ascii="Times New Roman" w:hAnsi="Times New Roman" w:cs="Times New Roman"/>
        </w:rPr>
        <w:t xml:space="preserve"> 2002</w:t>
      </w:r>
      <w:r w:rsidR="00604F49" w:rsidRPr="007F32A3">
        <w:rPr>
          <w:rFonts w:ascii="Times New Roman" w:hAnsi="Times New Roman" w:cs="Times New Roman"/>
        </w:rPr>
        <w:t>).</w:t>
      </w:r>
      <w:r w:rsidR="00604F49" w:rsidRPr="007F32A3">
        <w:rPr>
          <w:rStyle w:val="a5"/>
          <w:rFonts w:ascii="Times New Roman" w:hAnsi="Times New Roman" w:cs="Times New Roman"/>
        </w:rPr>
        <w:footnoteReference w:id="2"/>
      </w:r>
      <w:r w:rsidR="00604F49" w:rsidRPr="007F32A3">
        <w:rPr>
          <w:rFonts w:ascii="Times New Roman" w:hAnsi="Times New Roman" w:cs="Times New Roman"/>
        </w:rPr>
        <w:t xml:space="preserve"> </w:t>
      </w:r>
      <w:r w:rsidR="00E205A7" w:rsidRPr="007F32A3">
        <w:rPr>
          <w:rFonts w:ascii="Times New Roman" w:hAnsi="Times New Roman" w:cs="Times New Roman"/>
        </w:rPr>
        <w:t>Since</w:t>
      </w:r>
      <w:r w:rsidR="00F8635A" w:rsidRPr="007F32A3">
        <w:rPr>
          <w:rFonts w:ascii="Times New Roman" w:hAnsi="Times New Roman" w:cs="Times New Roman"/>
        </w:rPr>
        <w:t xml:space="preserve"> industry specialist auditors are </w:t>
      </w:r>
      <w:r w:rsidR="00E205A7" w:rsidRPr="007F32A3">
        <w:rPr>
          <w:rFonts w:ascii="Times New Roman" w:hAnsi="Times New Roman" w:cs="Times New Roman"/>
        </w:rPr>
        <w:t>considered</w:t>
      </w:r>
      <w:r w:rsidR="00F8635A" w:rsidRPr="007F32A3">
        <w:rPr>
          <w:rFonts w:ascii="Times New Roman" w:hAnsi="Times New Roman" w:cs="Times New Roman"/>
        </w:rPr>
        <w:t xml:space="preserve"> to possess higher audit quality, </w:t>
      </w:r>
      <w:r w:rsidR="00E205A7" w:rsidRPr="007F32A3">
        <w:rPr>
          <w:rFonts w:ascii="Times New Roman" w:hAnsi="Times New Roman" w:cs="Times New Roman"/>
        </w:rPr>
        <w:t>t</w:t>
      </w:r>
      <w:r w:rsidR="00F8635A" w:rsidRPr="007F32A3">
        <w:rPr>
          <w:rFonts w:ascii="Times New Roman" w:hAnsi="Times New Roman" w:cs="Times New Roman"/>
        </w:rPr>
        <w:t xml:space="preserve">he purpose of this study is to explore </w:t>
      </w:r>
      <w:r w:rsidR="00B3234D" w:rsidRPr="007F32A3">
        <w:rPr>
          <w:rFonts w:ascii="Times New Roman" w:hAnsi="Times New Roman" w:cs="Times New Roman"/>
        </w:rPr>
        <w:t xml:space="preserve">whether auditor industry specialization, and indicator of </w:t>
      </w:r>
      <w:r w:rsidR="00F8635A" w:rsidRPr="007F32A3">
        <w:rPr>
          <w:rFonts w:ascii="Times New Roman" w:hAnsi="Times New Roman" w:cs="Times New Roman"/>
        </w:rPr>
        <w:t>audit quality</w:t>
      </w:r>
      <w:r w:rsidR="00B3234D" w:rsidRPr="007F32A3">
        <w:rPr>
          <w:rFonts w:ascii="Times New Roman" w:hAnsi="Times New Roman" w:cs="Times New Roman"/>
        </w:rPr>
        <w:t xml:space="preserve">, can </w:t>
      </w:r>
      <w:r w:rsidR="00AF3890" w:rsidRPr="007F32A3">
        <w:rPr>
          <w:rFonts w:ascii="Times New Roman" w:hAnsi="Times New Roman" w:cs="Times New Roman"/>
        </w:rPr>
        <w:t>communicates</w:t>
      </w:r>
      <w:r w:rsidR="007F7C4B" w:rsidRPr="007F32A3">
        <w:rPr>
          <w:rFonts w:ascii="Times New Roman" w:hAnsi="Times New Roman" w:cs="Times New Roman"/>
        </w:rPr>
        <w:t xml:space="preserve"> more important KAM in their</w:t>
      </w:r>
      <w:r w:rsidR="00F8635A" w:rsidRPr="007F32A3">
        <w:rPr>
          <w:rFonts w:ascii="Times New Roman" w:hAnsi="Times New Roman" w:cs="Times New Roman"/>
        </w:rPr>
        <w:t xml:space="preserve"> audit reports.</w:t>
      </w:r>
      <w:r w:rsidR="000F18BF" w:rsidRPr="007F32A3">
        <w:rPr>
          <w:rFonts w:ascii="Times New Roman" w:hAnsi="Times New Roman" w:cs="Times New Roman"/>
        </w:rPr>
        <w:t xml:space="preserve"> </w:t>
      </w:r>
      <w:r w:rsidR="007F7C4B" w:rsidRPr="007F32A3">
        <w:rPr>
          <w:rFonts w:ascii="Times New Roman" w:hAnsi="Times New Roman" w:cs="Times New Roman"/>
        </w:rPr>
        <w:t>In other word</w:t>
      </w:r>
      <w:r w:rsidR="00AF3890" w:rsidRPr="007F32A3">
        <w:rPr>
          <w:rFonts w:ascii="Times New Roman" w:hAnsi="Times New Roman" w:cs="Times New Roman"/>
        </w:rPr>
        <w:t xml:space="preserve">, we expect when specialist auditor’s can provide important KAM in their report, the KAM then can be more informative to the users. </w:t>
      </w:r>
      <w:r w:rsidR="007F7C4B" w:rsidRPr="007F32A3">
        <w:rPr>
          <w:rFonts w:ascii="Times New Roman" w:hAnsi="Times New Roman" w:cs="Times New Roman"/>
        </w:rPr>
        <w:t>The results of our study can make up for the gap</w:t>
      </w:r>
      <w:r w:rsidR="00AF3890" w:rsidRPr="007F32A3">
        <w:rPr>
          <w:rFonts w:ascii="Times New Roman" w:hAnsi="Times New Roman" w:cs="Times New Roman"/>
        </w:rPr>
        <w:t xml:space="preserve"> in the literature</w:t>
      </w:r>
      <w:r w:rsidR="007F7C4B" w:rsidRPr="007F32A3">
        <w:rPr>
          <w:rFonts w:ascii="Times New Roman" w:hAnsi="Times New Roman" w:cs="Times New Roman"/>
        </w:rPr>
        <w:t xml:space="preserve"> </w:t>
      </w:r>
      <w:r w:rsidR="00AF3890" w:rsidRPr="007F32A3">
        <w:rPr>
          <w:rFonts w:ascii="Times New Roman" w:hAnsi="Times New Roman" w:cs="Times New Roman"/>
        </w:rPr>
        <w:t xml:space="preserve">that </w:t>
      </w:r>
      <w:r w:rsidR="007F7C4B" w:rsidRPr="007F32A3">
        <w:rPr>
          <w:rFonts w:ascii="Times New Roman" w:hAnsi="Times New Roman" w:cs="Times New Roman"/>
        </w:rPr>
        <w:t xml:space="preserve">why KAM </w:t>
      </w:r>
      <w:r w:rsidR="00AF3890" w:rsidRPr="007F32A3">
        <w:rPr>
          <w:rFonts w:ascii="Times New Roman" w:hAnsi="Times New Roman" w:cs="Times New Roman"/>
        </w:rPr>
        <w:t>was not demonstrated to be informative, is because of auditor did not possess of certain industry specialty to identify KAM.</w:t>
      </w:r>
    </w:p>
    <w:p w:rsidR="00C53BFB" w:rsidRPr="007F32A3" w:rsidRDefault="00F8635A" w:rsidP="0061290E">
      <w:pPr>
        <w:autoSpaceDE w:val="0"/>
        <w:autoSpaceDN w:val="0"/>
        <w:adjustRightInd w:val="0"/>
        <w:snapToGrid w:val="0"/>
        <w:spacing w:beforeLines="50" w:before="180" w:after="50" w:line="480" w:lineRule="auto"/>
        <w:ind w:firstLineChars="200" w:firstLine="480"/>
        <w:jc w:val="both"/>
        <w:rPr>
          <w:rFonts w:ascii="Times New Roman" w:hAnsi="Times New Roman" w:cs="Times New Roman"/>
          <w:szCs w:val="24"/>
        </w:rPr>
      </w:pPr>
      <w:r w:rsidRPr="007F32A3">
        <w:rPr>
          <w:rFonts w:ascii="Times New Roman" w:hAnsi="Times New Roman" w:cs="Times New Roman"/>
          <w:kern w:val="0"/>
          <w:szCs w:val="24"/>
        </w:rPr>
        <w:t xml:space="preserve">To address this question, this study use hand-collected data of the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disclosed in </w:t>
      </w:r>
      <w:r w:rsidR="00C21480" w:rsidRPr="007F32A3">
        <w:rPr>
          <w:rFonts w:ascii="Times New Roman" w:hAnsi="Times New Roman" w:cs="Times New Roman"/>
          <w:kern w:val="0"/>
          <w:szCs w:val="24"/>
        </w:rPr>
        <w:t xml:space="preserve">the </w:t>
      </w:r>
      <w:r w:rsidRPr="007F32A3">
        <w:rPr>
          <w:rFonts w:ascii="Times New Roman" w:hAnsi="Times New Roman" w:cs="Times New Roman"/>
          <w:kern w:val="0"/>
          <w:szCs w:val="24"/>
        </w:rPr>
        <w:t>audit report</w:t>
      </w:r>
      <w:r w:rsidR="00C21480" w:rsidRPr="007F32A3">
        <w:rPr>
          <w:rFonts w:ascii="Times New Roman" w:hAnsi="Times New Roman" w:cs="Times New Roman"/>
          <w:kern w:val="0"/>
          <w:szCs w:val="24"/>
        </w:rPr>
        <w:t>s</w:t>
      </w:r>
      <w:r w:rsidRPr="007F32A3">
        <w:rPr>
          <w:rFonts w:ascii="Times New Roman" w:hAnsi="Times New Roman" w:cs="Times New Roman"/>
          <w:kern w:val="0"/>
          <w:szCs w:val="24"/>
        </w:rPr>
        <w:t xml:space="preserve"> of Taiwanese </w:t>
      </w:r>
      <w:r w:rsidR="00D101BE" w:rsidRPr="007F32A3">
        <w:rPr>
          <w:rFonts w:ascii="Times New Roman" w:hAnsi="Times New Roman" w:cs="Times New Roman"/>
          <w:kern w:val="0"/>
          <w:szCs w:val="24"/>
        </w:rPr>
        <w:t xml:space="preserve">listed </w:t>
      </w:r>
      <w:r w:rsidRPr="007F32A3">
        <w:rPr>
          <w:rFonts w:ascii="Times New Roman" w:hAnsi="Times New Roman" w:cs="Times New Roman"/>
          <w:kern w:val="0"/>
          <w:szCs w:val="24"/>
        </w:rPr>
        <w:t xml:space="preserve">companies in </w:t>
      </w:r>
      <w:bookmarkStart w:id="0" w:name="_GoBack"/>
      <w:bookmarkEnd w:id="0"/>
      <w:r w:rsidRPr="007F32A3">
        <w:rPr>
          <w:rFonts w:ascii="Times New Roman" w:hAnsi="Times New Roman" w:cs="Times New Roman"/>
          <w:kern w:val="0"/>
          <w:szCs w:val="24"/>
        </w:rPr>
        <w:t xml:space="preserve">2016 to explore the association between </w:t>
      </w:r>
      <w:r w:rsidR="009A0BE0" w:rsidRPr="007F32A3">
        <w:rPr>
          <w:rFonts w:ascii="Times New Roman" w:hAnsi="Times New Roman" w:cs="Times New Roman"/>
          <w:kern w:val="0"/>
          <w:szCs w:val="24"/>
        </w:rPr>
        <w:t xml:space="preserve">auditor industry specialization and audit quality by applying the disclosure quality of </w:t>
      </w:r>
      <w:r w:rsidR="00B21D1D" w:rsidRPr="007F32A3">
        <w:rPr>
          <w:rFonts w:ascii="Times New Roman" w:hAnsi="Times New Roman" w:cs="Times New Roman"/>
          <w:kern w:val="0"/>
          <w:szCs w:val="24"/>
        </w:rPr>
        <w:t>KAM</w:t>
      </w:r>
      <w:r w:rsidR="009A0BE0" w:rsidRPr="007F32A3">
        <w:rPr>
          <w:rFonts w:ascii="Times New Roman" w:hAnsi="Times New Roman" w:cs="Times New Roman"/>
          <w:kern w:val="0"/>
          <w:szCs w:val="24"/>
        </w:rPr>
        <w:t xml:space="preserve"> in new audit reports</w:t>
      </w:r>
      <w:r w:rsidRPr="007F32A3">
        <w:rPr>
          <w:rFonts w:ascii="Times New Roman" w:hAnsi="Times New Roman" w:cs="Times New Roman"/>
          <w:szCs w:val="24"/>
        </w:rPr>
        <w:t>.</w:t>
      </w:r>
      <w:r w:rsidR="0026339E" w:rsidRPr="007F32A3">
        <w:rPr>
          <w:rFonts w:ascii="Times New Roman" w:hAnsi="Times New Roman" w:cs="Times New Roman"/>
          <w:szCs w:val="24"/>
        </w:rPr>
        <w:t xml:space="preserve"> </w:t>
      </w:r>
      <w:r w:rsidR="00074B49" w:rsidRPr="007F32A3">
        <w:rPr>
          <w:rFonts w:ascii="Times New Roman" w:hAnsi="Times New Roman" w:cs="Times New Roman"/>
          <w:szCs w:val="24"/>
        </w:rPr>
        <w:t>Moreover, t</w:t>
      </w:r>
      <w:r w:rsidR="0026339E" w:rsidRPr="007F32A3">
        <w:rPr>
          <w:rFonts w:ascii="Times New Roman" w:hAnsi="Times New Roman" w:cs="Times New Roman"/>
          <w:szCs w:val="24"/>
        </w:rPr>
        <w:t xml:space="preserve">his study </w:t>
      </w:r>
      <w:r w:rsidR="00D13E93" w:rsidRPr="007F32A3">
        <w:rPr>
          <w:rFonts w:ascii="Times New Roman" w:hAnsi="Times New Roman" w:cs="Times New Roman"/>
          <w:szCs w:val="24"/>
        </w:rPr>
        <w:t>develop</w:t>
      </w:r>
      <w:r w:rsidR="005F4D0D" w:rsidRPr="007F32A3">
        <w:rPr>
          <w:rFonts w:ascii="Times New Roman" w:hAnsi="Times New Roman" w:cs="Times New Roman"/>
          <w:szCs w:val="24"/>
        </w:rPr>
        <w:t>s</w:t>
      </w:r>
      <w:r w:rsidR="00D13E93" w:rsidRPr="007F32A3">
        <w:rPr>
          <w:rFonts w:ascii="Times New Roman" w:hAnsi="Times New Roman" w:cs="Times New Roman"/>
          <w:szCs w:val="24"/>
        </w:rPr>
        <w:t xml:space="preserve"> a comprehensive indicator based on companies’ </w:t>
      </w:r>
      <w:r w:rsidR="00B21D1D" w:rsidRPr="007F32A3">
        <w:rPr>
          <w:rFonts w:ascii="Times New Roman" w:hAnsi="Times New Roman" w:cs="Times New Roman"/>
          <w:szCs w:val="24"/>
        </w:rPr>
        <w:t>KAM</w:t>
      </w:r>
      <w:r w:rsidR="00D13E93" w:rsidRPr="007F32A3">
        <w:rPr>
          <w:rFonts w:ascii="Times New Roman" w:hAnsi="Times New Roman" w:cs="Times New Roman"/>
          <w:szCs w:val="24"/>
        </w:rPr>
        <w:t xml:space="preserve"> disclosure content according to</w:t>
      </w:r>
      <w:r w:rsidR="0026339E" w:rsidRPr="007F32A3">
        <w:rPr>
          <w:rFonts w:ascii="Times New Roman" w:hAnsi="Times New Roman" w:cs="Times New Roman"/>
          <w:szCs w:val="24"/>
        </w:rPr>
        <w:t xml:space="preserve"> </w:t>
      </w:r>
      <w:r w:rsidR="00D13E93" w:rsidRPr="007F32A3">
        <w:rPr>
          <w:rFonts w:ascii="Times New Roman" w:hAnsi="Times New Roman" w:cs="Times New Roman"/>
          <w:szCs w:val="24"/>
        </w:rPr>
        <w:t>Chen (2017)</w:t>
      </w:r>
      <w:r w:rsidR="00517537" w:rsidRPr="007F32A3">
        <w:rPr>
          <w:rFonts w:ascii="Times New Roman" w:hAnsi="Times New Roman" w:cs="Times New Roman"/>
        </w:rPr>
        <w:t xml:space="preserve"> </w:t>
      </w:r>
      <w:r w:rsidR="00517537" w:rsidRPr="007F32A3">
        <w:rPr>
          <w:rFonts w:ascii="Times New Roman" w:hAnsi="Times New Roman" w:cs="Times New Roman"/>
          <w:szCs w:val="24"/>
        </w:rPr>
        <w:t xml:space="preserve">including following six criteria indexes: (1) whether the matter </w:t>
      </w:r>
      <w:r w:rsidR="00517537" w:rsidRPr="007F32A3">
        <w:rPr>
          <w:rFonts w:ascii="Times New Roman" w:hAnsi="Times New Roman" w:cs="Times New Roman"/>
          <w:szCs w:val="24"/>
        </w:rPr>
        <w:lastRenderedPageBreak/>
        <w:t>discussed should be considered as a KAM; (2) whether the discussion of KAM provided linkage to a specific level of the account it mentioned; (3) whether excessive standardized phraseology is used to discuss KAM; (4) whether the content of KAM provides the index of KAM-related disclosure in financial reports; (5) whether the title of KAM is appropriate; and (6) whether the note of KAM is adequate.</w:t>
      </w:r>
      <w:r w:rsidR="00C53BFB" w:rsidRPr="007F32A3">
        <w:rPr>
          <w:rFonts w:ascii="Times New Roman" w:hAnsi="Times New Roman" w:cs="Times New Roman"/>
          <w:szCs w:val="24"/>
        </w:rPr>
        <w:t xml:space="preserve"> and propose that </w:t>
      </w:r>
      <w:r w:rsidR="00B21D1D" w:rsidRPr="007F32A3">
        <w:rPr>
          <w:rFonts w:ascii="Times New Roman" w:hAnsi="Times New Roman" w:cs="Times New Roman"/>
          <w:szCs w:val="24"/>
        </w:rPr>
        <w:t>KAM</w:t>
      </w:r>
      <w:r w:rsidR="00C53BFB" w:rsidRPr="007F32A3">
        <w:rPr>
          <w:rFonts w:ascii="Times New Roman" w:hAnsi="Times New Roman" w:cs="Times New Roman"/>
          <w:szCs w:val="24"/>
        </w:rPr>
        <w:t xml:space="preserve"> </w:t>
      </w:r>
      <w:r w:rsidR="00F20082" w:rsidRPr="007F32A3">
        <w:rPr>
          <w:rFonts w:ascii="Times New Roman" w:hAnsi="Times New Roman" w:cs="Times New Roman"/>
          <w:szCs w:val="24"/>
        </w:rPr>
        <w:t>disclosed by</w:t>
      </w:r>
      <w:r w:rsidR="00C53BFB" w:rsidRPr="007F32A3">
        <w:rPr>
          <w:rFonts w:ascii="Times New Roman" w:hAnsi="Times New Roman" w:cs="Times New Roman"/>
          <w:szCs w:val="24"/>
        </w:rPr>
        <w:t xml:space="preserve"> </w:t>
      </w:r>
      <w:r w:rsidR="00E93EC4" w:rsidRPr="007F32A3">
        <w:rPr>
          <w:rFonts w:ascii="Times New Roman" w:hAnsi="Times New Roman" w:cs="Times New Roman"/>
          <w:szCs w:val="24"/>
        </w:rPr>
        <w:t>industry special</w:t>
      </w:r>
      <w:r w:rsidR="00C21480" w:rsidRPr="007F32A3">
        <w:rPr>
          <w:rFonts w:ascii="Times New Roman" w:hAnsi="Times New Roman" w:cs="Times New Roman"/>
          <w:szCs w:val="24"/>
        </w:rPr>
        <w:t xml:space="preserve">ist </w:t>
      </w:r>
      <w:r w:rsidR="00E93EC4" w:rsidRPr="007F32A3">
        <w:rPr>
          <w:rFonts w:ascii="Times New Roman" w:hAnsi="Times New Roman" w:cs="Times New Roman"/>
          <w:szCs w:val="24"/>
        </w:rPr>
        <w:t>auditors</w:t>
      </w:r>
      <w:r w:rsidR="00F20082" w:rsidRPr="007F32A3">
        <w:rPr>
          <w:rFonts w:ascii="Times New Roman" w:hAnsi="Times New Roman" w:cs="Times New Roman"/>
          <w:szCs w:val="24"/>
        </w:rPr>
        <w:t xml:space="preserve"> will possess higher score</w:t>
      </w:r>
      <w:r w:rsidR="00C21480" w:rsidRPr="007F32A3">
        <w:rPr>
          <w:rFonts w:ascii="Times New Roman" w:hAnsi="Times New Roman" w:cs="Times New Roman"/>
          <w:szCs w:val="24"/>
        </w:rPr>
        <w:t>s</w:t>
      </w:r>
      <w:r w:rsidR="00F20082" w:rsidRPr="007F32A3">
        <w:rPr>
          <w:rFonts w:ascii="Times New Roman" w:hAnsi="Times New Roman" w:cs="Times New Roman"/>
          <w:szCs w:val="24"/>
        </w:rPr>
        <w:t xml:space="preserve"> (fewer deficiencies) of the comprehensive indicator</w:t>
      </w:r>
      <w:r w:rsidR="00C21480" w:rsidRPr="007F32A3">
        <w:rPr>
          <w:rFonts w:ascii="Times New Roman" w:hAnsi="Times New Roman" w:cs="Times New Roman"/>
          <w:szCs w:val="24"/>
        </w:rPr>
        <w:t>s</w:t>
      </w:r>
      <w:r w:rsidR="00D13E93" w:rsidRPr="007F32A3">
        <w:rPr>
          <w:rFonts w:ascii="Times New Roman" w:hAnsi="Times New Roman" w:cs="Times New Roman"/>
          <w:szCs w:val="24"/>
        </w:rPr>
        <w:t xml:space="preserve">. </w:t>
      </w:r>
    </w:p>
    <w:p w:rsidR="00074B49" w:rsidRPr="007F32A3" w:rsidRDefault="00074B49" w:rsidP="009B1290">
      <w:pPr>
        <w:autoSpaceDE w:val="0"/>
        <w:autoSpaceDN w:val="0"/>
        <w:adjustRightInd w:val="0"/>
        <w:snapToGrid w:val="0"/>
        <w:spacing w:beforeLines="50" w:before="180" w:after="50" w:line="480" w:lineRule="auto"/>
        <w:ind w:firstLineChars="200" w:firstLine="480"/>
        <w:jc w:val="both"/>
        <w:rPr>
          <w:rFonts w:ascii="Times New Roman" w:hAnsi="Times New Roman" w:cs="Times New Roman"/>
          <w:szCs w:val="24"/>
        </w:rPr>
      </w:pPr>
      <w:r w:rsidRPr="007F32A3">
        <w:rPr>
          <w:rFonts w:ascii="Times New Roman" w:hAnsi="Times New Roman" w:cs="Times New Roman"/>
          <w:szCs w:val="24"/>
        </w:rPr>
        <w:t>The empirical results show that</w:t>
      </w:r>
      <w:r w:rsidR="00252E1F" w:rsidRPr="007F32A3">
        <w:rPr>
          <w:rFonts w:ascii="Times New Roman" w:hAnsi="Times New Roman" w:cs="Times New Roman"/>
          <w:szCs w:val="24"/>
        </w:rPr>
        <w:t xml:space="preserve"> </w:t>
      </w:r>
      <w:r w:rsidRPr="007F32A3">
        <w:rPr>
          <w:rFonts w:ascii="Times New Roman" w:hAnsi="Times New Roman" w:cs="Times New Roman"/>
          <w:szCs w:val="24"/>
        </w:rPr>
        <w:t>the</w:t>
      </w:r>
      <w:r w:rsidR="00252E1F" w:rsidRPr="007F32A3">
        <w:rPr>
          <w:rFonts w:ascii="Times New Roman" w:hAnsi="Times New Roman" w:cs="Times New Roman"/>
          <w:szCs w:val="24"/>
        </w:rPr>
        <w:t xml:space="preserve"> association between </w:t>
      </w:r>
      <w:r w:rsidRPr="007F32A3">
        <w:rPr>
          <w:rFonts w:ascii="Times New Roman" w:hAnsi="Times New Roman" w:cs="Times New Roman"/>
          <w:szCs w:val="24"/>
        </w:rPr>
        <w:t xml:space="preserve">the </w:t>
      </w:r>
      <w:r w:rsidR="00252E1F" w:rsidRPr="007F32A3">
        <w:rPr>
          <w:rFonts w:ascii="Times New Roman" w:hAnsi="Times New Roman" w:cs="Times New Roman"/>
          <w:szCs w:val="24"/>
        </w:rPr>
        <w:t xml:space="preserve">industrial specialist audit partner </w:t>
      </w:r>
      <w:r w:rsidRPr="007F32A3">
        <w:rPr>
          <w:rFonts w:ascii="Times New Roman" w:hAnsi="Times New Roman" w:cs="Times New Roman"/>
          <w:szCs w:val="24"/>
        </w:rPr>
        <w:t xml:space="preserve">indicator variable </w:t>
      </w:r>
      <w:r w:rsidR="00252E1F" w:rsidRPr="007F32A3">
        <w:rPr>
          <w:rFonts w:ascii="Times New Roman" w:hAnsi="Times New Roman" w:cs="Times New Roman"/>
          <w:szCs w:val="24"/>
        </w:rPr>
        <w:t>and the measurement of KAM content quality is significantly positive for both logistic regression and the ordinal logit regression. The</w:t>
      </w:r>
      <w:r w:rsidRPr="007F32A3">
        <w:rPr>
          <w:rFonts w:ascii="Times New Roman" w:hAnsi="Times New Roman" w:cs="Times New Roman"/>
          <w:szCs w:val="24"/>
        </w:rPr>
        <w:t xml:space="preserve"> findings support our hypothesis that compared with the content quality of KAM in an audit report that discussed by non-specialist auditors, the content quality of KAM is higher in the audit report that di</w:t>
      </w:r>
      <w:r w:rsidR="00252E1F" w:rsidRPr="007F32A3">
        <w:rPr>
          <w:rFonts w:ascii="Times New Roman" w:hAnsi="Times New Roman" w:cs="Times New Roman"/>
          <w:szCs w:val="24"/>
        </w:rPr>
        <w:t>scussed by specialist auditors; and provide</w:t>
      </w:r>
      <w:r w:rsidRPr="007F32A3">
        <w:rPr>
          <w:rFonts w:ascii="Times New Roman" w:hAnsi="Times New Roman" w:cs="Times New Roman"/>
          <w:szCs w:val="24"/>
        </w:rPr>
        <w:t xml:space="preserve"> </w:t>
      </w:r>
      <w:r w:rsidR="00252E1F" w:rsidRPr="007F32A3">
        <w:rPr>
          <w:rFonts w:ascii="Times New Roman" w:hAnsi="Times New Roman" w:cs="Times New Roman"/>
          <w:szCs w:val="24"/>
        </w:rPr>
        <w:t xml:space="preserve">new </w:t>
      </w:r>
      <w:r w:rsidRPr="007F32A3">
        <w:rPr>
          <w:rFonts w:ascii="Times New Roman" w:hAnsi="Times New Roman" w:cs="Times New Roman"/>
          <w:szCs w:val="24"/>
        </w:rPr>
        <w:t xml:space="preserve">evidence supporting prior studies </w:t>
      </w:r>
      <w:r w:rsidR="00252E1F" w:rsidRPr="007F32A3">
        <w:rPr>
          <w:rFonts w:ascii="Times New Roman" w:hAnsi="Times New Roman" w:cs="Times New Roman"/>
          <w:szCs w:val="24"/>
        </w:rPr>
        <w:t>about the superior auditing ability and disclosure quality</w:t>
      </w:r>
      <w:r w:rsidRPr="007F32A3">
        <w:rPr>
          <w:rFonts w:ascii="Times New Roman" w:hAnsi="Times New Roman" w:cs="Times New Roman"/>
          <w:szCs w:val="24"/>
        </w:rPr>
        <w:t xml:space="preserve"> </w:t>
      </w:r>
      <w:r w:rsidR="00252E1F" w:rsidRPr="007F32A3">
        <w:rPr>
          <w:rFonts w:ascii="Times New Roman" w:hAnsi="Times New Roman" w:cs="Times New Roman"/>
          <w:szCs w:val="24"/>
        </w:rPr>
        <w:t xml:space="preserve">of </w:t>
      </w:r>
      <w:r w:rsidRPr="007F32A3">
        <w:rPr>
          <w:rFonts w:ascii="Times New Roman" w:hAnsi="Times New Roman" w:cs="Times New Roman"/>
          <w:szCs w:val="24"/>
        </w:rPr>
        <w:t>auditor industry specialist.</w:t>
      </w:r>
      <w:r w:rsidR="009F4167" w:rsidRPr="007F32A3">
        <w:rPr>
          <w:rFonts w:ascii="Times New Roman" w:hAnsi="Times New Roman" w:cs="Times New Roman"/>
          <w:szCs w:val="24"/>
        </w:rPr>
        <w:t xml:space="preserve"> </w:t>
      </w:r>
      <w:r w:rsidR="009B1290" w:rsidRPr="007F32A3">
        <w:rPr>
          <w:rFonts w:ascii="Times New Roman" w:hAnsi="Times New Roman" w:cs="Times New Roman"/>
          <w:szCs w:val="24"/>
        </w:rPr>
        <w:t>Besides</w:t>
      </w:r>
      <w:r w:rsidR="00F51E89" w:rsidRPr="007F32A3">
        <w:rPr>
          <w:rFonts w:ascii="Times New Roman" w:hAnsi="Times New Roman" w:cs="Times New Roman"/>
          <w:szCs w:val="24"/>
        </w:rPr>
        <w:t>, the empirical results of considering the effect of auditor change reveal that the positive association between the industrial specialist audit partner indicator variable and KAM content quality is significant only for companies that did not change their auditors for current year, which suggests that auditors’ client specific knowledge may affect the quality of KAMs disclosure.</w:t>
      </w:r>
      <w:r w:rsidR="009B1290" w:rsidRPr="007F32A3">
        <w:rPr>
          <w:rFonts w:ascii="Times New Roman" w:hAnsi="Times New Roman" w:cs="Times New Roman"/>
          <w:szCs w:val="24"/>
        </w:rPr>
        <w:t xml:space="preserve"> Moreover, the additional test reviews that the impact of auditor industry specialization on the content quality of KAM is more pronounced for correctly identifying KAM issues, avoiding to use excessive standardized phraseology to discuss KAM, and adequately make the note of KAM.</w:t>
      </w:r>
    </w:p>
    <w:p w:rsidR="00C53BFB" w:rsidRPr="007F32A3" w:rsidRDefault="00057227" w:rsidP="0061290E">
      <w:pPr>
        <w:autoSpaceDE w:val="0"/>
        <w:autoSpaceDN w:val="0"/>
        <w:adjustRightInd w:val="0"/>
        <w:snapToGrid w:val="0"/>
        <w:spacing w:beforeLines="50" w:before="180" w:after="50" w:line="480" w:lineRule="auto"/>
        <w:ind w:firstLineChars="200" w:firstLine="480"/>
        <w:jc w:val="both"/>
        <w:rPr>
          <w:rFonts w:ascii="Times New Roman" w:hAnsi="Times New Roman" w:cs="Times New Roman"/>
          <w:szCs w:val="24"/>
        </w:rPr>
      </w:pPr>
      <w:r w:rsidRPr="007F32A3">
        <w:rPr>
          <w:rFonts w:ascii="Times New Roman" w:hAnsi="Times New Roman" w:cs="Times New Roman"/>
          <w:szCs w:val="24"/>
        </w:rPr>
        <w:t xml:space="preserve">This study is expected to make the following contributions. </w:t>
      </w:r>
      <w:r w:rsidR="00D101BE" w:rsidRPr="007F32A3">
        <w:rPr>
          <w:rFonts w:ascii="Times New Roman" w:hAnsi="Times New Roman" w:cs="Times New Roman"/>
          <w:szCs w:val="24"/>
        </w:rPr>
        <w:t>R</w:t>
      </w:r>
      <w:r w:rsidRPr="007F32A3">
        <w:rPr>
          <w:rFonts w:ascii="Times New Roman" w:hAnsi="Times New Roman" w:cs="Times New Roman"/>
          <w:szCs w:val="24"/>
        </w:rPr>
        <w:t xml:space="preserve">egarding the limitation of data, rare empirical evidence exists about the disclosure of </w:t>
      </w:r>
      <w:r w:rsidR="00B21D1D" w:rsidRPr="007F32A3">
        <w:rPr>
          <w:rFonts w:ascii="Times New Roman" w:hAnsi="Times New Roman" w:cs="Times New Roman"/>
          <w:szCs w:val="24"/>
        </w:rPr>
        <w:t>KAM</w:t>
      </w:r>
      <w:r w:rsidRPr="007F32A3">
        <w:rPr>
          <w:rFonts w:ascii="Times New Roman" w:hAnsi="Times New Roman" w:cs="Times New Roman"/>
          <w:szCs w:val="24"/>
        </w:rPr>
        <w:t xml:space="preserve"> </w:t>
      </w:r>
      <w:r w:rsidR="00CD6269" w:rsidRPr="007F32A3">
        <w:rPr>
          <w:rFonts w:ascii="Times New Roman" w:hAnsi="Times New Roman" w:cs="Times New Roman"/>
          <w:szCs w:val="24"/>
        </w:rPr>
        <w:t>until now</w:t>
      </w:r>
      <w:r w:rsidR="00604F49" w:rsidRPr="007F32A3">
        <w:rPr>
          <w:rFonts w:ascii="Times New Roman" w:hAnsi="Times New Roman" w:cs="Times New Roman"/>
          <w:szCs w:val="24"/>
        </w:rPr>
        <w:t xml:space="preserve">; further, </w:t>
      </w:r>
      <w:r w:rsidRPr="007F32A3">
        <w:rPr>
          <w:rFonts w:ascii="Times New Roman" w:hAnsi="Times New Roman" w:cs="Times New Roman"/>
          <w:szCs w:val="24"/>
        </w:rPr>
        <w:t xml:space="preserve">this study will use hand-collected data from </w:t>
      </w:r>
      <w:r w:rsidR="00B21D1D" w:rsidRPr="007F32A3">
        <w:rPr>
          <w:rFonts w:ascii="Times New Roman" w:hAnsi="Times New Roman" w:cs="Times New Roman"/>
          <w:szCs w:val="24"/>
        </w:rPr>
        <w:t>KAM</w:t>
      </w:r>
      <w:r w:rsidRPr="007F32A3">
        <w:rPr>
          <w:rFonts w:ascii="Times New Roman" w:hAnsi="Times New Roman" w:cs="Times New Roman"/>
          <w:szCs w:val="24"/>
        </w:rPr>
        <w:t xml:space="preserve"> in Taiwan to provide empirical evidence </w:t>
      </w:r>
      <w:r w:rsidR="00604F49" w:rsidRPr="007F32A3">
        <w:rPr>
          <w:rFonts w:ascii="Times New Roman" w:hAnsi="Times New Roman" w:cs="Times New Roman"/>
          <w:szCs w:val="24"/>
        </w:rPr>
        <w:t xml:space="preserve">regarding </w:t>
      </w:r>
      <w:r w:rsidRPr="007F32A3">
        <w:rPr>
          <w:rFonts w:ascii="Times New Roman" w:hAnsi="Times New Roman" w:cs="Times New Roman"/>
          <w:szCs w:val="24"/>
        </w:rPr>
        <w:t xml:space="preserve">the consequence of </w:t>
      </w:r>
      <w:r w:rsidR="00604F49" w:rsidRPr="007F32A3">
        <w:rPr>
          <w:rFonts w:ascii="Times New Roman" w:hAnsi="Times New Roman" w:cs="Times New Roman"/>
          <w:szCs w:val="24"/>
        </w:rPr>
        <w:t xml:space="preserve">the </w:t>
      </w:r>
      <w:r w:rsidRPr="007F32A3">
        <w:rPr>
          <w:rFonts w:ascii="Times New Roman" w:hAnsi="Times New Roman" w:cs="Times New Roman"/>
          <w:szCs w:val="24"/>
        </w:rPr>
        <w:t xml:space="preserve">revolution </w:t>
      </w:r>
      <w:r w:rsidR="00604F49" w:rsidRPr="007F32A3">
        <w:rPr>
          <w:rFonts w:ascii="Times New Roman" w:hAnsi="Times New Roman" w:cs="Times New Roman"/>
          <w:szCs w:val="24"/>
        </w:rPr>
        <w:t xml:space="preserve">in </w:t>
      </w:r>
      <w:r w:rsidRPr="007F32A3">
        <w:rPr>
          <w:rFonts w:ascii="Times New Roman" w:hAnsi="Times New Roman" w:cs="Times New Roman"/>
          <w:szCs w:val="24"/>
        </w:rPr>
        <w:t xml:space="preserve">audit reporting. This is our first contribution. </w:t>
      </w:r>
      <w:r w:rsidR="00C21480" w:rsidRPr="007F32A3">
        <w:rPr>
          <w:rFonts w:ascii="Times New Roman" w:hAnsi="Times New Roman" w:cs="Times New Roman"/>
          <w:szCs w:val="24"/>
        </w:rPr>
        <w:t>Furthermore</w:t>
      </w:r>
      <w:r w:rsidRPr="007F32A3">
        <w:rPr>
          <w:rFonts w:ascii="Times New Roman" w:hAnsi="Times New Roman" w:cs="Times New Roman"/>
          <w:szCs w:val="24"/>
        </w:rPr>
        <w:t xml:space="preserve">, </w:t>
      </w:r>
      <w:r w:rsidR="00D101BE" w:rsidRPr="007F32A3">
        <w:rPr>
          <w:rFonts w:ascii="Times New Roman" w:hAnsi="Times New Roman" w:cs="Times New Roman"/>
          <w:szCs w:val="24"/>
        </w:rPr>
        <w:t>while Lennox et al. (2015</w:t>
      </w:r>
      <w:r w:rsidR="00604F49" w:rsidRPr="007F32A3">
        <w:rPr>
          <w:rFonts w:ascii="Times New Roman" w:hAnsi="Times New Roman" w:cs="Times New Roman"/>
          <w:szCs w:val="24"/>
        </w:rPr>
        <w:t xml:space="preserve">) (i.e., </w:t>
      </w:r>
      <w:r w:rsidR="00D101BE" w:rsidRPr="007F32A3">
        <w:rPr>
          <w:rFonts w:ascii="Times New Roman" w:hAnsi="Times New Roman" w:cs="Times New Roman"/>
          <w:szCs w:val="24"/>
        </w:rPr>
        <w:t>the only published empirical evidence prior to this study, to our best knowledge</w:t>
      </w:r>
      <w:r w:rsidR="00604F49" w:rsidRPr="007F32A3">
        <w:rPr>
          <w:rFonts w:ascii="Times New Roman" w:hAnsi="Times New Roman" w:cs="Times New Roman"/>
          <w:szCs w:val="24"/>
        </w:rPr>
        <w:t xml:space="preserve">) </w:t>
      </w:r>
      <w:r w:rsidRPr="007F32A3">
        <w:rPr>
          <w:rFonts w:ascii="Times New Roman" w:hAnsi="Times New Roman" w:cs="Times New Roman"/>
          <w:szCs w:val="24"/>
        </w:rPr>
        <w:t xml:space="preserve">provide evidence of the response of users of audit reports, this study is expected to provide evidence of the </w:t>
      </w:r>
      <w:r w:rsidRPr="007F32A3">
        <w:rPr>
          <w:rFonts w:ascii="Times New Roman" w:hAnsi="Times New Roman" w:cs="Times New Roman"/>
          <w:szCs w:val="24"/>
        </w:rPr>
        <w:lastRenderedPageBreak/>
        <w:t>response of audit report providers for the new audit standard, and this is our contribution</w:t>
      </w:r>
      <w:r w:rsidR="00C21480" w:rsidRPr="007F32A3">
        <w:rPr>
          <w:rFonts w:ascii="Times New Roman" w:hAnsi="Times New Roman" w:cs="Times New Roman"/>
          <w:szCs w:val="24"/>
        </w:rPr>
        <w:t xml:space="preserve">, i.e., </w:t>
      </w:r>
      <w:r w:rsidR="00D101BE" w:rsidRPr="007F32A3">
        <w:rPr>
          <w:rFonts w:ascii="Times New Roman" w:hAnsi="Times New Roman" w:cs="Times New Roman"/>
          <w:szCs w:val="24"/>
        </w:rPr>
        <w:t xml:space="preserve">our second contribution. </w:t>
      </w:r>
      <w:r w:rsidR="00604F49" w:rsidRPr="007F32A3">
        <w:rPr>
          <w:rFonts w:ascii="Times New Roman" w:hAnsi="Times New Roman" w:cs="Times New Roman"/>
          <w:szCs w:val="24"/>
        </w:rPr>
        <w:t>Finally,</w:t>
      </w:r>
      <w:r w:rsidR="00D101BE" w:rsidRPr="007F32A3">
        <w:rPr>
          <w:rFonts w:ascii="Times New Roman" w:hAnsi="Times New Roman" w:cs="Times New Roman"/>
          <w:szCs w:val="24"/>
        </w:rPr>
        <w:t xml:space="preserve"> while industry specialist auditors </w:t>
      </w:r>
      <w:r w:rsidR="00C21480" w:rsidRPr="007F32A3">
        <w:rPr>
          <w:rFonts w:ascii="Times New Roman" w:hAnsi="Times New Roman" w:cs="Times New Roman"/>
          <w:szCs w:val="24"/>
        </w:rPr>
        <w:t>typically</w:t>
      </w:r>
      <w:r w:rsidR="00D101BE" w:rsidRPr="007F32A3">
        <w:rPr>
          <w:rFonts w:ascii="Times New Roman" w:hAnsi="Times New Roman" w:cs="Times New Roman"/>
          <w:szCs w:val="24"/>
        </w:rPr>
        <w:t xml:space="preserve"> </w:t>
      </w:r>
      <w:r w:rsidR="00C21480" w:rsidRPr="007F32A3">
        <w:rPr>
          <w:rFonts w:ascii="Times New Roman" w:hAnsi="Times New Roman" w:cs="Times New Roman"/>
          <w:szCs w:val="24"/>
        </w:rPr>
        <w:t xml:space="preserve">demonstrate </w:t>
      </w:r>
      <w:r w:rsidR="00D101BE" w:rsidRPr="007F32A3">
        <w:rPr>
          <w:rFonts w:ascii="Times New Roman" w:hAnsi="Times New Roman" w:cs="Times New Roman"/>
          <w:szCs w:val="24"/>
        </w:rPr>
        <w:t xml:space="preserve">higher audit quality, no evidence associated with the new audit report has been provided to date. This study will provide evidence of the impact of auditor industry specialization on audit quality under </w:t>
      </w:r>
      <w:r w:rsidR="00C21480" w:rsidRPr="007F32A3">
        <w:rPr>
          <w:rFonts w:ascii="Times New Roman" w:hAnsi="Times New Roman" w:cs="Times New Roman"/>
          <w:szCs w:val="24"/>
        </w:rPr>
        <w:t xml:space="preserve">the </w:t>
      </w:r>
      <w:r w:rsidR="00D101BE" w:rsidRPr="007F32A3">
        <w:rPr>
          <w:rFonts w:ascii="Times New Roman" w:hAnsi="Times New Roman" w:cs="Times New Roman"/>
          <w:szCs w:val="24"/>
        </w:rPr>
        <w:t>new audit regulation region</w:t>
      </w:r>
      <w:r w:rsidR="00C21480" w:rsidRPr="007F32A3">
        <w:rPr>
          <w:rFonts w:ascii="Times New Roman" w:hAnsi="Times New Roman" w:cs="Times New Roman"/>
          <w:szCs w:val="24"/>
        </w:rPr>
        <w:t xml:space="preserve"> (</w:t>
      </w:r>
      <w:r w:rsidR="00D101BE" w:rsidRPr="007F32A3">
        <w:rPr>
          <w:rFonts w:ascii="Times New Roman" w:hAnsi="Times New Roman" w:cs="Times New Roman"/>
          <w:szCs w:val="24"/>
        </w:rPr>
        <w:t>this is our third contribution</w:t>
      </w:r>
      <w:r w:rsidR="00C21480" w:rsidRPr="007F32A3">
        <w:rPr>
          <w:rFonts w:ascii="Times New Roman" w:hAnsi="Times New Roman" w:cs="Times New Roman"/>
          <w:szCs w:val="24"/>
        </w:rPr>
        <w:t>)</w:t>
      </w:r>
      <w:r w:rsidR="00D101BE" w:rsidRPr="007F32A3">
        <w:rPr>
          <w:rFonts w:ascii="Times New Roman" w:hAnsi="Times New Roman" w:cs="Times New Roman"/>
          <w:szCs w:val="24"/>
        </w:rPr>
        <w:t>.</w:t>
      </w:r>
      <w:r w:rsidR="00371246" w:rsidRPr="007F32A3">
        <w:rPr>
          <w:rFonts w:ascii="Times New Roman" w:hAnsi="Times New Roman" w:cs="Times New Roman"/>
          <w:szCs w:val="24"/>
        </w:rPr>
        <w:t xml:space="preserve">  </w:t>
      </w:r>
    </w:p>
    <w:p w:rsidR="00F853CB" w:rsidRPr="007F32A3" w:rsidRDefault="00CD6269" w:rsidP="0061290E">
      <w:pPr>
        <w:autoSpaceDE w:val="0"/>
        <w:autoSpaceDN w:val="0"/>
        <w:adjustRightInd w:val="0"/>
        <w:snapToGrid w:val="0"/>
        <w:spacing w:beforeLines="50" w:before="180" w:after="50" w:line="480" w:lineRule="auto"/>
        <w:ind w:firstLineChars="200" w:firstLine="480"/>
        <w:jc w:val="both"/>
        <w:rPr>
          <w:rFonts w:ascii="Times New Roman" w:hAnsi="Times New Roman" w:cs="Times New Roman"/>
          <w:kern w:val="0"/>
          <w:szCs w:val="24"/>
        </w:rPr>
      </w:pPr>
      <w:r w:rsidRPr="007F32A3">
        <w:rPr>
          <w:rFonts w:ascii="Times New Roman" w:hAnsi="Times New Roman" w:cs="Times New Roman"/>
          <w:kern w:val="0"/>
          <w:szCs w:val="24"/>
        </w:rPr>
        <w:t xml:space="preserve">The remainder of this paper is organized as follows. The next section presents the institutional background and </w:t>
      </w:r>
      <w:r w:rsidR="00C53BFB" w:rsidRPr="007F32A3">
        <w:rPr>
          <w:rFonts w:ascii="Times New Roman" w:hAnsi="Times New Roman" w:cs="Times New Roman"/>
          <w:kern w:val="0"/>
          <w:szCs w:val="24"/>
        </w:rPr>
        <w:t>develops our hypotheses</w:t>
      </w:r>
      <w:r w:rsidRPr="007F32A3">
        <w:rPr>
          <w:rFonts w:ascii="Times New Roman" w:hAnsi="Times New Roman" w:cs="Times New Roman"/>
          <w:kern w:val="0"/>
          <w:szCs w:val="24"/>
        </w:rPr>
        <w:t>. The third section presents the research method used to test these hypotheses. We present the experimental results in the fourth</w:t>
      </w:r>
      <w:r w:rsidR="00C53BFB" w:rsidRPr="007F32A3">
        <w:rPr>
          <w:rFonts w:ascii="Times New Roman" w:hAnsi="Times New Roman" w:cs="Times New Roman"/>
          <w:kern w:val="0"/>
          <w:szCs w:val="24"/>
        </w:rPr>
        <w:t xml:space="preserve"> </w:t>
      </w:r>
      <w:r w:rsidRPr="007F32A3">
        <w:rPr>
          <w:rFonts w:ascii="Times New Roman" w:hAnsi="Times New Roman" w:cs="Times New Roman"/>
          <w:kern w:val="0"/>
          <w:szCs w:val="24"/>
        </w:rPr>
        <w:t xml:space="preserve">section, followed by our analysis of the </w:t>
      </w:r>
      <w:r w:rsidR="00C53BFB" w:rsidRPr="007F32A3">
        <w:rPr>
          <w:rFonts w:ascii="Times New Roman" w:hAnsi="Times New Roman" w:cs="Times New Roman"/>
          <w:kern w:val="0"/>
          <w:szCs w:val="24"/>
        </w:rPr>
        <w:t xml:space="preserve">impact of auditor industry specialization on </w:t>
      </w:r>
      <w:r w:rsidR="00B21D1D" w:rsidRPr="007F32A3">
        <w:rPr>
          <w:rFonts w:ascii="Times New Roman" w:hAnsi="Times New Roman" w:cs="Times New Roman"/>
          <w:kern w:val="0"/>
          <w:szCs w:val="24"/>
        </w:rPr>
        <w:t>KAM</w:t>
      </w:r>
      <w:r w:rsidR="00C53BFB" w:rsidRPr="007F32A3">
        <w:rPr>
          <w:rFonts w:ascii="Times New Roman" w:hAnsi="Times New Roman" w:cs="Times New Roman"/>
          <w:kern w:val="0"/>
          <w:szCs w:val="24"/>
        </w:rPr>
        <w:t xml:space="preserve">’ disclosure quality </w:t>
      </w:r>
      <w:r w:rsidRPr="007F32A3">
        <w:rPr>
          <w:rFonts w:ascii="Times New Roman" w:hAnsi="Times New Roman" w:cs="Times New Roman"/>
          <w:kern w:val="0"/>
          <w:szCs w:val="24"/>
        </w:rPr>
        <w:t>in the discussion section. The last section</w:t>
      </w:r>
      <w:r w:rsidR="00C53BFB" w:rsidRPr="007F32A3">
        <w:rPr>
          <w:rFonts w:ascii="Times New Roman" w:hAnsi="Times New Roman" w:cs="Times New Roman"/>
          <w:kern w:val="0"/>
          <w:szCs w:val="24"/>
        </w:rPr>
        <w:t xml:space="preserve"> </w:t>
      </w:r>
      <w:r w:rsidRPr="007F32A3">
        <w:rPr>
          <w:rFonts w:ascii="Times New Roman" w:hAnsi="Times New Roman" w:cs="Times New Roman"/>
          <w:kern w:val="0"/>
          <w:szCs w:val="24"/>
        </w:rPr>
        <w:t>presents our conclusions.</w:t>
      </w:r>
    </w:p>
    <w:p w:rsidR="00F853CB" w:rsidRPr="007F32A3" w:rsidRDefault="00604F49" w:rsidP="0061290E">
      <w:pPr>
        <w:snapToGrid w:val="0"/>
        <w:spacing w:beforeLines="50" w:before="180" w:afterLines="50" w:after="180" w:line="480" w:lineRule="auto"/>
        <w:jc w:val="center"/>
        <w:rPr>
          <w:rStyle w:val="ab"/>
          <w:rFonts w:ascii="Times New Roman" w:hAnsi="Times New Roman" w:cs="Times New Roman"/>
          <w:bCs w:val="0"/>
          <w:kern w:val="0"/>
          <w:szCs w:val="24"/>
        </w:rPr>
      </w:pPr>
      <w:r w:rsidRPr="007F32A3">
        <w:rPr>
          <w:rFonts w:ascii="Times New Roman" w:hAnsi="Times New Roman" w:cs="Times New Roman"/>
          <w:b/>
          <w:kern w:val="0"/>
          <w:szCs w:val="24"/>
        </w:rPr>
        <w:t>II. Background and Hypotheses Development</w:t>
      </w:r>
    </w:p>
    <w:p w:rsidR="00F853CB" w:rsidRPr="007F32A3" w:rsidRDefault="00C450B5" w:rsidP="0061290E">
      <w:pPr>
        <w:snapToGrid w:val="0"/>
        <w:spacing w:beforeLines="50" w:before="180" w:afterLines="50" w:after="180" w:line="480" w:lineRule="auto"/>
        <w:jc w:val="both"/>
        <w:rPr>
          <w:rFonts w:ascii="Times New Roman" w:hAnsi="Times New Roman" w:cs="Times New Roman"/>
          <w:b/>
          <w:bCs/>
          <w:kern w:val="0"/>
          <w:szCs w:val="24"/>
        </w:rPr>
      </w:pPr>
      <w:r w:rsidRPr="007F32A3">
        <w:rPr>
          <w:rFonts w:ascii="Times New Roman" w:hAnsi="Times New Roman" w:cs="Times New Roman"/>
          <w:b/>
          <w:bCs/>
          <w:kern w:val="0"/>
          <w:szCs w:val="24"/>
        </w:rPr>
        <w:t>Changes of the auditor report considered by the PCAOB, IAASB</w:t>
      </w:r>
      <w:r w:rsidR="00604F49" w:rsidRPr="007F32A3">
        <w:rPr>
          <w:rFonts w:ascii="Times New Roman" w:hAnsi="Times New Roman" w:cs="Times New Roman"/>
          <w:b/>
          <w:bCs/>
          <w:kern w:val="0"/>
          <w:szCs w:val="24"/>
        </w:rPr>
        <w:t>,</w:t>
      </w:r>
      <w:r w:rsidRPr="007F32A3">
        <w:rPr>
          <w:rFonts w:ascii="Times New Roman" w:hAnsi="Times New Roman" w:cs="Times New Roman"/>
          <w:b/>
          <w:bCs/>
          <w:kern w:val="0"/>
          <w:szCs w:val="24"/>
        </w:rPr>
        <w:t xml:space="preserve"> and Taiwan ARDF</w:t>
      </w:r>
    </w:p>
    <w:p w:rsidR="00C450B5" w:rsidRPr="007F32A3" w:rsidRDefault="00C450B5"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kern w:val="0"/>
          <w:szCs w:val="24"/>
        </w:rPr>
      </w:pPr>
      <w:r w:rsidRPr="007F32A3">
        <w:rPr>
          <w:rFonts w:ascii="Times New Roman" w:hAnsi="Times New Roman" w:cs="Times New Roman"/>
          <w:kern w:val="0"/>
          <w:szCs w:val="24"/>
        </w:rPr>
        <w:t>To provide more valuable information and increase the information transparency of an audit, countries</w:t>
      </w:r>
      <w:r w:rsidR="00C21480" w:rsidRPr="007F32A3">
        <w:rPr>
          <w:rFonts w:ascii="Times New Roman" w:hAnsi="Times New Roman" w:cs="Times New Roman"/>
          <w:kern w:val="0"/>
          <w:szCs w:val="24"/>
        </w:rPr>
        <w:t xml:space="preserve"> </w:t>
      </w:r>
      <w:r w:rsidRPr="007F32A3">
        <w:rPr>
          <w:rFonts w:ascii="Times New Roman" w:hAnsi="Times New Roman" w:cs="Times New Roman"/>
          <w:kern w:val="0"/>
          <w:szCs w:val="24"/>
        </w:rPr>
        <w:t xml:space="preserve">and economies around the world seek to enhance the form and content of </w:t>
      </w:r>
      <w:r w:rsidR="00C21480" w:rsidRPr="007F32A3">
        <w:rPr>
          <w:rFonts w:ascii="Times New Roman" w:hAnsi="Times New Roman" w:cs="Times New Roman"/>
          <w:kern w:val="0"/>
          <w:szCs w:val="24"/>
        </w:rPr>
        <w:t xml:space="preserve">an </w:t>
      </w:r>
      <w:r w:rsidRPr="007F32A3">
        <w:rPr>
          <w:rFonts w:ascii="Times New Roman" w:hAnsi="Times New Roman" w:cs="Times New Roman"/>
          <w:kern w:val="0"/>
          <w:szCs w:val="24"/>
        </w:rPr>
        <w:t xml:space="preserve">audit report to make it more relevant and informative for financial statement users. </w:t>
      </w:r>
    </w:p>
    <w:p w:rsidR="00702736" w:rsidRPr="007F32A3" w:rsidRDefault="00C450B5"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kern w:val="0"/>
          <w:szCs w:val="24"/>
        </w:rPr>
      </w:pPr>
      <w:r w:rsidRPr="007F32A3">
        <w:rPr>
          <w:rFonts w:ascii="Times New Roman" w:hAnsi="Times New Roman" w:cs="Times New Roman"/>
          <w:kern w:val="0"/>
          <w:szCs w:val="24"/>
        </w:rPr>
        <w:t>The PCAOB and the IAASB have proposed s</w:t>
      </w:r>
      <w:r w:rsidR="00381474" w:rsidRPr="007F32A3">
        <w:rPr>
          <w:rFonts w:ascii="Times New Roman" w:hAnsi="Times New Roman" w:cs="Times New Roman"/>
          <w:kern w:val="0"/>
          <w:szCs w:val="24"/>
        </w:rPr>
        <w:t xml:space="preserve">ignificant changes to the audit </w:t>
      </w:r>
      <w:r w:rsidRPr="007F32A3">
        <w:rPr>
          <w:rFonts w:ascii="Times New Roman" w:hAnsi="Times New Roman" w:cs="Times New Roman"/>
          <w:kern w:val="0"/>
          <w:szCs w:val="24"/>
        </w:rPr>
        <w:t>reporting model and introduce</w:t>
      </w:r>
      <w:r w:rsidR="00C21480" w:rsidRPr="007F32A3">
        <w:rPr>
          <w:rFonts w:ascii="Times New Roman" w:hAnsi="Times New Roman" w:cs="Times New Roman"/>
          <w:kern w:val="0"/>
          <w:szCs w:val="24"/>
        </w:rPr>
        <w:t>d</w:t>
      </w:r>
      <w:r w:rsidRPr="007F32A3">
        <w:rPr>
          <w:rFonts w:ascii="Times New Roman" w:hAnsi="Times New Roman" w:cs="Times New Roman"/>
          <w:kern w:val="0"/>
          <w:szCs w:val="24"/>
        </w:rPr>
        <w:t xml:space="preserve"> new audit-reporting initiatives that incorporate important changes to </w:t>
      </w:r>
      <w:r w:rsidR="00C21480" w:rsidRPr="007F32A3">
        <w:rPr>
          <w:rFonts w:ascii="Times New Roman" w:hAnsi="Times New Roman" w:cs="Times New Roman"/>
          <w:kern w:val="0"/>
          <w:szCs w:val="24"/>
        </w:rPr>
        <w:t xml:space="preserve">an </w:t>
      </w:r>
      <w:r w:rsidRPr="007F32A3">
        <w:rPr>
          <w:rFonts w:ascii="Times New Roman" w:hAnsi="Times New Roman" w:cs="Times New Roman"/>
          <w:kern w:val="0"/>
          <w:szCs w:val="24"/>
        </w:rPr>
        <w:t xml:space="preserve">auditor’s report for the financial statement audit. The standards proposed by </w:t>
      </w:r>
      <w:r w:rsidR="00C21480" w:rsidRPr="007F32A3">
        <w:rPr>
          <w:rFonts w:ascii="Times New Roman" w:hAnsi="Times New Roman" w:cs="Times New Roman"/>
          <w:kern w:val="0"/>
          <w:szCs w:val="24"/>
        </w:rPr>
        <w:t xml:space="preserve">the </w:t>
      </w:r>
      <w:r w:rsidRPr="007F32A3">
        <w:rPr>
          <w:rFonts w:ascii="Times New Roman" w:hAnsi="Times New Roman" w:cs="Times New Roman"/>
          <w:kern w:val="0"/>
          <w:szCs w:val="24"/>
        </w:rPr>
        <w:t>PCAOB (2013a, 2013b)</w:t>
      </w:r>
      <w:r w:rsidRPr="007F32A3">
        <w:rPr>
          <w:rStyle w:val="a5"/>
          <w:rFonts w:ascii="Times New Roman" w:hAnsi="Times New Roman" w:cs="Times New Roman"/>
          <w:kern w:val="0"/>
          <w:szCs w:val="24"/>
        </w:rPr>
        <w:footnoteReference w:id="3"/>
      </w:r>
      <w:r w:rsidRPr="007F32A3">
        <w:rPr>
          <w:rFonts w:ascii="Times New Roman" w:hAnsi="Times New Roman" w:cs="Times New Roman"/>
          <w:kern w:val="0"/>
          <w:szCs w:val="24"/>
        </w:rPr>
        <w:t xml:space="preserve"> and issued by the IAASB (2015a, 2015b) </w:t>
      </w:r>
      <w:r w:rsidRPr="007F32A3">
        <w:rPr>
          <w:rFonts w:ascii="Times New Roman" w:eastAsia="AdvArial" w:hAnsi="Times New Roman" w:cs="Times New Roman"/>
          <w:kern w:val="0"/>
          <w:szCs w:val="24"/>
        </w:rPr>
        <w:t xml:space="preserve">require the auditor to make additional disclosures to close the information gap; that is, the gap between the information that users desire and the information </w:t>
      </w:r>
      <w:r w:rsidRPr="007F32A3">
        <w:rPr>
          <w:rFonts w:ascii="Times New Roman" w:eastAsia="AdvArial" w:hAnsi="Times New Roman" w:cs="Times New Roman"/>
          <w:kern w:val="0"/>
          <w:szCs w:val="24"/>
        </w:rPr>
        <w:lastRenderedPageBreak/>
        <w:t xml:space="preserve">available through the audited financial statements, other corporate disclosures, and the auditor’s report. One of the most important changes is the requirement of disclosure of significant audit matters. </w:t>
      </w:r>
    </w:p>
    <w:p w:rsidR="00C450B5" w:rsidRPr="007F32A3" w:rsidRDefault="00C450B5" w:rsidP="0061290E">
      <w:pPr>
        <w:autoSpaceDE w:val="0"/>
        <w:autoSpaceDN w:val="0"/>
        <w:adjustRightInd w:val="0"/>
        <w:snapToGrid w:val="0"/>
        <w:spacing w:beforeLines="50" w:before="180" w:afterLines="50" w:after="180" w:line="480" w:lineRule="auto"/>
        <w:ind w:firstLineChars="200" w:firstLine="480"/>
        <w:jc w:val="both"/>
        <w:rPr>
          <w:rStyle w:val="ab"/>
          <w:rFonts w:ascii="Times New Roman" w:hAnsi="Times New Roman" w:cs="Times New Roman"/>
          <w:b w:val="0"/>
          <w:bCs w:val="0"/>
          <w:kern w:val="0"/>
          <w:szCs w:val="24"/>
        </w:rPr>
      </w:pPr>
      <w:r w:rsidRPr="007F32A3">
        <w:rPr>
          <w:rFonts w:ascii="Times New Roman" w:hAnsi="Times New Roman" w:cs="Times New Roman"/>
          <w:kern w:val="0"/>
          <w:szCs w:val="24"/>
        </w:rPr>
        <w:t xml:space="preserve">In addition to this new requirement regarding </w:t>
      </w:r>
      <w:r w:rsidRPr="007F32A3">
        <w:rPr>
          <w:rFonts w:ascii="Times New Roman" w:eastAsia="AdvArial" w:hAnsi="Times New Roman" w:cs="Times New Roman"/>
          <w:kern w:val="0"/>
          <w:szCs w:val="24"/>
        </w:rPr>
        <w:t>significant audit matters</w:t>
      </w:r>
      <w:r w:rsidRPr="007F32A3">
        <w:rPr>
          <w:rFonts w:ascii="Times New Roman" w:hAnsi="Times New Roman" w:cs="Times New Roman"/>
          <w:kern w:val="0"/>
          <w:szCs w:val="24"/>
        </w:rPr>
        <w:t>, which are critical audit matters (CAMs) under the PCAOB audit reporting initiative and key audit matters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under ISA 700, the primary difference between the PCAOB (CAMs) and IAASB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is that, whereas CAMs include all significant matters that are documented in the engagement completion document, reviewed by the engagement quality reviewer, or communicated to the audit committee,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are selected from matters communicated with those charged with governance (Be´dard et al.</w:t>
      </w:r>
      <w:r w:rsidR="00AE784D" w:rsidRPr="007F32A3">
        <w:rPr>
          <w:rFonts w:ascii="Times New Roman" w:hAnsi="Times New Roman" w:cs="Times New Roman"/>
          <w:kern w:val="0"/>
          <w:szCs w:val="24"/>
        </w:rPr>
        <w:t>,</w:t>
      </w:r>
      <w:r w:rsidRPr="007F32A3">
        <w:rPr>
          <w:rFonts w:ascii="Times New Roman" w:hAnsi="Times New Roman" w:cs="Times New Roman"/>
          <w:kern w:val="0"/>
          <w:szCs w:val="24"/>
        </w:rPr>
        <w:t xml:space="preserve"> 2016). </w:t>
      </w:r>
      <w:r w:rsidRPr="007F32A3">
        <w:rPr>
          <w:rFonts w:ascii="Times New Roman" w:hAnsi="Times New Roman" w:cs="Times New Roman"/>
          <w:szCs w:val="24"/>
          <w:lang w:val="en"/>
        </w:rPr>
        <w:t>In order to comply with international trends and enhance the transparency of audit reports, ARDF in Taiwan revised SAS No. 58 in 2015 and required auditors</w:t>
      </w:r>
      <w:r w:rsidRPr="007F32A3">
        <w:rPr>
          <w:rFonts w:ascii="Times New Roman" w:hAnsi="Times New Roman" w:cs="Times New Roman"/>
          <w:szCs w:val="24"/>
        </w:rPr>
        <w:t xml:space="preserve"> </w:t>
      </w:r>
      <w:r w:rsidRPr="007F32A3">
        <w:rPr>
          <w:rFonts w:ascii="Times New Roman" w:hAnsi="Times New Roman" w:cs="Times New Roman"/>
          <w:szCs w:val="24"/>
          <w:lang w:val="en"/>
        </w:rPr>
        <w:t xml:space="preserve">to communicate significant matters that used the term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as IAASB</w:t>
      </w:r>
      <w:r w:rsidRPr="007F32A3">
        <w:rPr>
          <w:rFonts w:ascii="Times New Roman" w:hAnsi="Times New Roman" w:cs="Times New Roman"/>
          <w:szCs w:val="24"/>
          <w:lang w:val="en"/>
        </w:rPr>
        <w:t xml:space="preserve"> in the audit and </w:t>
      </w:r>
      <w:r w:rsidR="00AE784D" w:rsidRPr="007F32A3">
        <w:rPr>
          <w:rFonts w:ascii="Times New Roman" w:hAnsi="Times New Roman" w:cs="Times New Roman"/>
          <w:szCs w:val="24"/>
          <w:lang w:val="en"/>
        </w:rPr>
        <w:t>contain</w:t>
      </w:r>
      <w:r w:rsidR="00C21480" w:rsidRPr="007F32A3">
        <w:rPr>
          <w:rFonts w:ascii="Times New Roman" w:hAnsi="Times New Roman" w:cs="Times New Roman"/>
          <w:szCs w:val="24"/>
          <w:lang w:val="en"/>
        </w:rPr>
        <w:t>ed</w:t>
      </w:r>
      <w:r w:rsidR="00AE784D" w:rsidRPr="007F32A3">
        <w:rPr>
          <w:rFonts w:ascii="Times New Roman" w:hAnsi="Times New Roman" w:cs="Times New Roman"/>
          <w:szCs w:val="24"/>
          <w:lang w:val="en"/>
        </w:rPr>
        <w:t xml:space="preserve"> </w:t>
      </w:r>
      <w:r w:rsidRPr="007F32A3">
        <w:rPr>
          <w:rFonts w:ascii="Times New Roman" w:hAnsi="Times New Roman" w:cs="Times New Roman"/>
          <w:szCs w:val="24"/>
          <w:lang w:val="en"/>
        </w:rPr>
        <w:t xml:space="preserve">these matters in the audit reports as well. </w:t>
      </w:r>
      <w:r w:rsidRPr="007F32A3">
        <w:rPr>
          <w:rFonts w:ascii="Times New Roman" w:hAnsi="Times New Roman" w:cs="Times New Roman"/>
          <w:kern w:val="0"/>
          <w:szCs w:val="24"/>
        </w:rPr>
        <w:t xml:space="preserve">For the recognition of significant audit matters, the CAMs of AACSB and the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of IAASB and ARDF discuss aspects of the audit that required a significant amount of professional judgment to evaluate appropriately or that presented the most difficulty in obtaining and evaluating evidence.</w:t>
      </w:r>
    </w:p>
    <w:p w:rsidR="00F853CB" w:rsidRPr="007F32A3" w:rsidRDefault="00F853CB" w:rsidP="0061290E">
      <w:pPr>
        <w:snapToGrid w:val="0"/>
        <w:spacing w:beforeLines="50" w:before="180" w:afterLines="50" w:after="180" w:line="480" w:lineRule="auto"/>
        <w:ind w:firstLineChars="200" w:firstLine="480"/>
        <w:jc w:val="both"/>
        <w:rPr>
          <w:rFonts w:ascii="Times New Roman" w:hAnsi="Times New Roman" w:cs="Times New Roman"/>
          <w:szCs w:val="24"/>
          <w:lang w:val="en"/>
        </w:rPr>
      </w:pPr>
      <w:r w:rsidRPr="007F32A3">
        <w:rPr>
          <w:rFonts w:ascii="Times New Roman" w:hAnsi="Times New Roman" w:cs="Times New Roman"/>
          <w:szCs w:val="24"/>
          <w:lang w:val="en"/>
        </w:rPr>
        <w:t xml:space="preserve">ARDF in Taiwan released SAS No. 58 “Communicating Key Audit Matters in the Independent Auditor’s Report” (hereafter referred to as SAS No. 58) on April 12, 2016, which required auditors to communicate the key matters in the audit and </w:t>
      </w:r>
      <w:r w:rsidR="00AE784D" w:rsidRPr="007F32A3">
        <w:rPr>
          <w:rFonts w:ascii="Times New Roman" w:hAnsi="Times New Roman" w:cs="Times New Roman"/>
          <w:szCs w:val="24"/>
          <w:lang w:val="en"/>
        </w:rPr>
        <w:t xml:space="preserve">that </w:t>
      </w:r>
      <w:r w:rsidRPr="007F32A3">
        <w:rPr>
          <w:rFonts w:ascii="Times New Roman" w:hAnsi="Times New Roman" w:cs="Times New Roman"/>
          <w:szCs w:val="24"/>
          <w:lang w:val="en"/>
        </w:rPr>
        <w:t>contain</w:t>
      </w:r>
      <w:r w:rsidR="009D0527" w:rsidRPr="007F32A3">
        <w:rPr>
          <w:rFonts w:ascii="Times New Roman" w:hAnsi="Times New Roman" w:cs="Times New Roman"/>
          <w:szCs w:val="24"/>
          <w:lang w:val="en"/>
        </w:rPr>
        <w:t>ed</w:t>
      </w:r>
      <w:r w:rsidRPr="007F32A3">
        <w:rPr>
          <w:rFonts w:ascii="Times New Roman" w:hAnsi="Times New Roman" w:cs="Times New Roman"/>
          <w:szCs w:val="24"/>
          <w:lang w:val="en"/>
        </w:rPr>
        <w:t xml:space="preserve"> these matters in the audit reports. This statement applies to the audits of general purpose financial statements of listed companies, specifically related to circumstances during which the auditor otherwise decides to communicate key audit matters in the auditor’s report.</w:t>
      </w:r>
    </w:p>
    <w:p w:rsidR="00F853CB" w:rsidRPr="007F32A3" w:rsidRDefault="00F853CB" w:rsidP="0061290E">
      <w:pPr>
        <w:snapToGrid w:val="0"/>
        <w:spacing w:beforeLines="50" w:before="180" w:afterLines="50" w:after="180" w:line="480" w:lineRule="auto"/>
        <w:ind w:firstLineChars="200" w:firstLine="480"/>
        <w:jc w:val="both"/>
        <w:rPr>
          <w:rFonts w:ascii="Times New Roman" w:hAnsi="Times New Roman" w:cs="Times New Roman"/>
          <w:szCs w:val="24"/>
          <w:lang w:val="en"/>
        </w:rPr>
      </w:pPr>
      <w:r w:rsidRPr="007F32A3">
        <w:rPr>
          <w:rFonts w:ascii="Times New Roman" w:hAnsi="Times New Roman" w:cs="Times New Roman"/>
          <w:szCs w:val="24"/>
          <w:lang w:val="en"/>
        </w:rPr>
        <w:t xml:space="preserve">Under SAS No. 58, the auditors shall communicate with company governance and determine matters that required significant auditor attention while performing an audit. </w:t>
      </w:r>
      <w:r w:rsidR="00B21D1D" w:rsidRPr="007F32A3">
        <w:rPr>
          <w:rFonts w:ascii="Times New Roman" w:hAnsi="Times New Roman" w:cs="Times New Roman"/>
          <w:szCs w:val="24"/>
          <w:lang w:val="en"/>
        </w:rPr>
        <w:t>KAM</w:t>
      </w:r>
      <w:r w:rsidRPr="007F32A3">
        <w:rPr>
          <w:rFonts w:ascii="Times New Roman" w:hAnsi="Times New Roman" w:cs="Times New Roman"/>
          <w:szCs w:val="24"/>
          <w:lang w:val="en"/>
        </w:rPr>
        <w:t xml:space="preserve"> can be seen as audit regions that require significant judgment by the auditor when performing </w:t>
      </w:r>
      <w:r w:rsidR="00AE784D" w:rsidRPr="007F32A3">
        <w:rPr>
          <w:rFonts w:ascii="Times New Roman" w:hAnsi="Times New Roman" w:cs="Times New Roman"/>
          <w:szCs w:val="24"/>
          <w:lang w:val="en"/>
        </w:rPr>
        <w:t xml:space="preserve">an </w:t>
      </w:r>
      <w:r w:rsidRPr="007F32A3">
        <w:rPr>
          <w:rFonts w:ascii="Times New Roman" w:hAnsi="Times New Roman" w:cs="Times New Roman"/>
          <w:szCs w:val="24"/>
          <w:lang w:val="en"/>
        </w:rPr>
        <w:t xml:space="preserve">audit or that pose the most difficulty in obtaining audit evidence and are expected to have a higher risk of material misstatement. In addition, the description of each KAM shall include a reference to discuss the </w:t>
      </w:r>
      <w:r w:rsidRPr="007F32A3">
        <w:rPr>
          <w:rFonts w:ascii="Times New Roman" w:hAnsi="Times New Roman" w:cs="Times New Roman"/>
          <w:szCs w:val="24"/>
          <w:lang w:val="en"/>
        </w:rPr>
        <w:lastRenderedPageBreak/>
        <w:t xml:space="preserve">identified matters and include explanations as to why the matters were considered appropriate for disclosure. As a result, after the adoption of SAS No. 58, users of audit reports are expected to obtain more information about auditors’ apprehension when performing an audit through the information of </w:t>
      </w:r>
      <w:r w:rsidR="00B21D1D" w:rsidRPr="007F32A3">
        <w:rPr>
          <w:rFonts w:ascii="Times New Roman" w:hAnsi="Times New Roman" w:cs="Times New Roman"/>
          <w:szCs w:val="24"/>
          <w:lang w:val="en"/>
        </w:rPr>
        <w:t>KAM</w:t>
      </w:r>
      <w:r w:rsidRPr="007F32A3">
        <w:rPr>
          <w:rFonts w:ascii="Times New Roman" w:hAnsi="Times New Roman" w:cs="Times New Roman"/>
          <w:szCs w:val="24"/>
          <w:lang w:val="en"/>
        </w:rPr>
        <w:t xml:space="preserve"> in addition to the audit opinions themselves. </w:t>
      </w:r>
    </w:p>
    <w:p w:rsidR="007B42E8" w:rsidRPr="007F32A3" w:rsidRDefault="00F853CB" w:rsidP="0061290E">
      <w:pPr>
        <w:snapToGrid w:val="0"/>
        <w:spacing w:beforeLines="50" w:before="180" w:afterLines="50" w:after="180" w:line="480" w:lineRule="auto"/>
        <w:ind w:firstLineChars="200" w:firstLine="480"/>
        <w:jc w:val="both"/>
        <w:rPr>
          <w:rFonts w:ascii="Times New Roman" w:hAnsi="Times New Roman" w:cs="Times New Roman"/>
          <w:szCs w:val="24"/>
          <w:lang w:val="en"/>
        </w:rPr>
      </w:pPr>
      <w:r w:rsidRPr="007F32A3">
        <w:rPr>
          <w:rFonts w:ascii="Times New Roman" w:hAnsi="Times New Roman" w:cs="Times New Roman"/>
          <w:szCs w:val="24"/>
          <w:lang w:val="en"/>
        </w:rPr>
        <w:t xml:space="preserve">The disclosed </w:t>
      </w:r>
      <w:r w:rsidR="00B21D1D" w:rsidRPr="007F32A3">
        <w:rPr>
          <w:rFonts w:ascii="Times New Roman" w:hAnsi="Times New Roman" w:cs="Times New Roman"/>
          <w:szCs w:val="24"/>
          <w:lang w:val="en"/>
        </w:rPr>
        <w:t>KAM</w:t>
      </w:r>
      <w:r w:rsidRPr="007F32A3">
        <w:rPr>
          <w:rFonts w:ascii="Times New Roman" w:hAnsi="Times New Roman" w:cs="Times New Roman"/>
          <w:szCs w:val="24"/>
          <w:lang w:val="en"/>
        </w:rPr>
        <w:t xml:space="preserve"> can be seen as another window of the audit report that provide</w:t>
      </w:r>
      <w:r w:rsidR="00A4709B" w:rsidRPr="007F32A3">
        <w:rPr>
          <w:rFonts w:ascii="Times New Roman" w:hAnsi="Times New Roman" w:cs="Times New Roman"/>
          <w:szCs w:val="24"/>
          <w:lang w:val="en"/>
        </w:rPr>
        <w:t>s</w:t>
      </w:r>
      <w:r w:rsidRPr="007F32A3">
        <w:rPr>
          <w:rFonts w:ascii="Times New Roman" w:hAnsi="Times New Roman" w:cs="Times New Roman"/>
          <w:szCs w:val="24"/>
          <w:lang w:val="en"/>
        </w:rPr>
        <w:t xml:space="preserve"> users </w:t>
      </w:r>
      <w:r w:rsidR="00A4709B" w:rsidRPr="007F32A3">
        <w:rPr>
          <w:rFonts w:ascii="Times New Roman" w:hAnsi="Times New Roman" w:cs="Times New Roman"/>
          <w:szCs w:val="24"/>
          <w:lang w:val="en"/>
        </w:rPr>
        <w:t xml:space="preserve">weith </w:t>
      </w:r>
      <w:r w:rsidRPr="007F32A3">
        <w:rPr>
          <w:rFonts w:ascii="Times New Roman" w:hAnsi="Times New Roman" w:cs="Times New Roman"/>
          <w:szCs w:val="24"/>
          <w:lang w:val="en"/>
        </w:rPr>
        <w:t xml:space="preserve">a clearer view of the audit work and important issues of </w:t>
      </w:r>
      <w:r w:rsidR="00A4709B" w:rsidRPr="007F32A3">
        <w:rPr>
          <w:rFonts w:ascii="Times New Roman" w:hAnsi="Times New Roman" w:cs="Times New Roman"/>
          <w:szCs w:val="24"/>
          <w:lang w:val="en"/>
        </w:rPr>
        <w:t xml:space="preserve">a </w:t>
      </w:r>
      <w:r w:rsidRPr="007F32A3">
        <w:rPr>
          <w:rFonts w:ascii="Times New Roman" w:hAnsi="Times New Roman" w:cs="Times New Roman"/>
          <w:szCs w:val="24"/>
          <w:lang w:val="en"/>
        </w:rPr>
        <w:t>company</w:t>
      </w:r>
      <w:r w:rsidR="00A4709B" w:rsidRPr="007F32A3">
        <w:rPr>
          <w:rFonts w:ascii="Times New Roman" w:hAnsi="Times New Roman" w:cs="Times New Roman"/>
          <w:szCs w:val="24"/>
          <w:lang w:val="en"/>
        </w:rPr>
        <w:t>’s</w:t>
      </w:r>
      <w:r w:rsidRPr="007F32A3">
        <w:rPr>
          <w:rFonts w:ascii="Times New Roman" w:hAnsi="Times New Roman" w:cs="Times New Roman"/>
          <w:szCs w:val="24"/>
          <w:lang w:val="en"/>
        </w:rPr>
        <w:t xml:space="preserve"> financial statements. However, while the new audit report displays a new way of communicating and can be linked to a wider range of emerging external reports to include both financial and nonfinancial information, the identification and confirmation of </w:t>
      </w:r>
      <w:r w:rsidR="00B21D1D" w:rsidRPr="007F32A3">
        <w:rPr>
          <w:rFonts w:ascii="Times New Roman" w:hAnsi="Times New Roman" w:cs="Times New Roman"/>
          <w:szCs w:val="24"/>
          <w:lang w:val="en"/>
        </w:rPr>
        <w:t>KAM</w:t>
      </w:r>
      <w:r w:rsidRPr="007F32A3">
        <w:rPr>
          <w:rFonts w:ascii="Times New Roman" w:hAnsi="Times New Roman" w:cs="Times New Roman"/>
          <w:szCs w:val="24"/>
          <w:lang w:val="en"/>
        </w:rPr>
        <w:t xml:space="preserve"> also provide other challenges for auditors.</w:t>
      </w:r>
    </w:p>
    <w:p w:rsidR="00873D4D" w:rsidRPr="007F32A3" w:rsidRDefault="007A3C2F" w:rsidP="0061290E">
      <w:pPr>
        <w:autoSpaceDE w:val="0"/>
        <w:autoSpaceDN w:val="0"/>
        <w:adjustRightInd w:val="0"/>
        <w:snapToGrid w:val="0"/>
        <w:spacing w:beforeLines="50" w:before="180" w:afterLines="50" w:after="180" w:line="480" w:lineRule="auto"/>
        <w:jc w:val="both"/>
        <w:rPr>
          <w:rFonts w:ascii="Times New Roman" w:hAnsi="Times New Roman" w:cs="Times New Roman"/>
          <w:kern w:val="0"/>
          <w:szCs w:val="24"/>
        </w:rPr>
      </w:pPr>
      <w:r w:rsidRPr="007F32A3">
        <w:rPr>
          <w:rFonts w:ascii="Times New Roman" w:hAnsi="Times New Roman" w:cs="Times New Roman"/>
          <w:b/>
          <w:bCs/>
          <w:kern w:val="0"/>
          <w:szCs w:val="24"/>
        </w:rPr>
        <w:t>I</w:t>
      </w:r>
      <w:r w:rsidR="00550544" w:rsidRPr="007F32A3">
        <w:rPr>
          <w:rFonts w:ascii="Times New Roman" w:hAnsi="Times New Roman" w:cs="Times New Roman"/>
          <w:b/>
          <w:bCs/>
          <w:kern w:val="0"/>
          <w:szCs w:val="24"/>
        </w:rPr>
        <w:t xml:space="preserve">mpacts of </w:t>
      </w:r>
      <w:r w:rsidR="00B21D1D" w:rsidRPr="007F32A3">
        <w:rPr>
          <w:rFonts w:ascii="Times New Roman" w:hAnsi="Times New Roman" w:cs="Times New Roman"/>
          <w:b/>
          <w:bCs/>
          <w:kern w:val="0"/>
          <w:szCs w:val="24"/>
        </w:rPr>
        <w:t>KAM</w:t>
      </w:r>
      <w:r w:rsidR="00550544" w:rsidRPr="007F32A3">
        <w:rPr>
          <w:rFonts w:ascii="Times New Roman" w:hAnsi="Times New Roman" w:cs="Times New Roman"/>
          <w:b/>
          <w:bCs/>
          <w:kern w:val="0"/>
          <w:szCs w:val="24"/>
        </w:rPr>
        <w:t xml:space="preserve"> </w:t>
      </w:r>
      <w:r w:rsidR="00AE784D" w:rsidRPr="007F32A3">
        <w:rPr>
          <w:rFonts w:ascii="Times New Roman" w:hAnsi="Times New Roman" w:cs="Times New Roman"/>
          <w:b/>
          <w:bCs/>
          <w:kern w:val="0"/>
          <w:szCs w:val="24"/>
        </w:rPr>
        <w:t>Disclosure</w:t>
      </w:r>
    </w:p>
    <w:p w:rsidR="00550544" w:rsidRPr="007F32A3" w:rsidRDefault="00B21D1D"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kern w:val="0"/>
        </w:rPr>
      </w:pPr>
      <w:r w:rsidRPr="007F32A3">
        <w:rPr>
          <w:rFonts w:ascii="Times New Roman" w:hAnsi="Times New Roman" w:cs="Times New Roman"/>
          <w:kern w:val="0"/>
        </w:rPr>
        <w:t>KAM</w:t>
      </w:r>
      <w:r w:rsidR="00C450B5" w:rsidRPr="007F32A3">
        <w:rPr>
          <w:rFonts w:ascii="Times New Roman" w:hAnsi="Times New Roman" w:cs="Times New Roman"/>
          <w:kern w:val="0"/>
        </w:rPr>
        <w:t xml:space="preserve"> are expected to enhance the communicative value of </w:t>
      </w:r>
      <w:r w:rsidR="00AE784D" w:rsidRPr="007F32A3">
        <w:rPr>
          <w:rFonts w:ascii="Times New Roman" w:hAnsi="Times New Roman" w:cs="Times New Roman"/>
          <w:kern w:val="0"/>
        </w:rPr>
        <w:t xml:space="preserve">an </w:t>
      </w:r>
      <w:r w:rsidR="00C450B5" w:rsidRPr="007F32A3">
        <w:rPr>
          <w:rFonts w:ascii="Times New Roman" w:hAnsi="Times New Roman" w:cs="Times New Roman"/>
          <w:kern w:val="0"/>
        </w:rPr>
        <w:t>auditor’s report</w:t>
      </w:r>
      <w:r w:rsidR="00550544" w:rsidRPr="007F32A3">
        <w:rPr>
          <w:rFonts w:ascii="Times New Roman" w:hAnsi="Times New Roman" w:cs="Times New Roman"/>
          <w:kern w:val="0"/>
        </w:rPr>
        <w:t xml:space="preserve">; </w:t>
      </w:r>
      <w:r w:rsidR="00AE784D" w:rsidRPr="007F32A3">
        <w:rPr>
          <w:rFonts w:ascii="Times New Roman" w:hAnsi="Times New Roman" w:cs="Times New Roman"/>
          <w:kern w:val="0"/>
        </w:rPr>
        <w:t>however</w:t>
      </w:r>
      <w:r w:rsidR="00550544" w:rsidRPr="007F32A3">
        <w:rPr>
          <w:rFonts w:ascii="Times New Roman" w:hAnsi="Times New Roman" w:cs="Times New Roman"/>
          <w:kern w:val="0"/>
        </w:rPr>
        <w:t>, o</w:t>
      </w:r>
      <w:r w:rsidR="00C450B5" w:rsidRPr="007F32A3">
        <w:rPr>
          <w:rFonts w:ascii="Times New Roman" w:hAnsi="Times New Roman" w:cs="Times New Roman"/>
          <w:kern w:val="0"/>
        </w:rPr>
        <w:t xml:space="preserve">wing to the novelty, evidence </w:t>
      </w:r>
      <w:r w:rsidR="00AE784D" w:rsidRPr="007F32A3">
        <w:rPr>
          <w:rFonts w:ascii="Times New Roman" w:hAnsi="Times New Roman" w:cs="Times New Roman"/>
          <w:kern w:val="0"/>
        </w:rPr>
        <w:t xml:space="preserve">of </w:t>
      </w:r>
      <w:r w:rsidR="00C450B5" w:rsidRPr="007F32A3">
        <w:rPr>
          <w:rFonts w:ascii="Times New Roman" w:hAnsi="Times New Roman" w:cs="Times New Roman"/>
          <w:kern w:val="0"/>
        </w:rPr>
        <w:t xml:space="preserve">the impact of </w:t>
      </w:r>
      <w:r w:rsidRPr="007F32A3">
        <w:rPr>
          <w:rFonts w:ascii="Times New Roman" w:hAnsi="Times New Roman" w:cs="Times New Roman"/>
          <w:kern w:val="0"/>
        </w:rPr>
        <w:t>KAM</w:t>
      </w:r>
      <w:r w:rsidR="00C450B5" w:rsidRPr="007F32A3">
        <w:rPr>
          <w:rFonts w:ascii="Times New Roman" w:hAnsi="Times New Roman" w:cs="Times New Roman"/>
          <w:kern w:val="0"/>
        </w:rPr>
        <w:t xml:space="preserve"> is rare (Sirois, Bédard,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C450B5" w:rsidRPr="007F32A3">
        <w:rPr>
          <w:rFonts w:ascii="Times New Roman" w:hAnsi="Times New Roman" w:cs="Times New Roman"/>
          <w:kern w:val="0"/>
        </w:rPr>
        <w:t>Bera</w:t>
      </w:r>
      <w:r w:rsidR="00AE784D" w:rsidRPr="007F32A3">
        <w:rPr>
          <w:rFonts w:ascii="Times New Roman" w:hAnsi="Times New Roman" w:cs="Times New Roman"/>
          <w:kern w:val="0"/>
        </w:rPr>
        <w:t>,</w:t>
      </w:r>
      <w:r w:rsidR="00C450B5" w:rsidRPr="007F32A3">
        <w:rPr>
          <w:rFonts w:ascii="Times New Roman" w:hAnsi="Times New Roman" w:cs="Times New Roman"/>
          <w:kern w:val="0"/>
        </w:rPr>
        <w:t xml:space="preserve"> 2018). </w:t>
      </w:r>
      <w:r w:rsidR="00AE784D" w:rsidRPr="007F32A3">
        <w:rPr>
          <w:rFonts w:ascii="Times New Roman" w:hAnsi="Times New Roman" w:cs="Times New Roman"/>
          <w:kern w:val="0"/>
        </w:rPr>
        <w:t xml:space="preserve">Because </w:t>
      </w:r>
      <w:r w:rsidRPr="007F32A3">
        <w:rPr>
          <w:rFonts w:ascii="Times New Roman" w:hAnsi="Times New Roman" w:cs="Times New Roman"/>
          <w:kern w:val="0"/>
        </w:rPr>
        <w:t>KAM</w:t>
      </w:r>
      <w:r w:rsidR="00583B63" w:rsidRPr="007F32A3">
        <w:rPr>
          <w:rFonts w:ascii="Times New Roman" w:hAnsi="Times New Roman" w:cs="Times New Roman"/>
          <w:kern w:val="0"/>
        </w:rPr>
        <w:t xml:space="preserve"> are expected </w:t>
      </w:r>
      <w:r w:rsidR="00550544" w:rsidRPr="007F32A3">
        <w:rPr>
          <w:rFonts w:ascii="Times New Roman" w:hAnsi="Times New Roman" w:cs="Times New Roman"/>
          <w:kern w:val="0"/>
        </w:rPr>
        <w:t xml:space="preserve">to serve as a tool to improve communication between financial statement users and </w:t>
      </w:r>
      <w:r w:rsidR="00583B63" w:rsidRPr="007F32A3">
        <w:rPr>
          <w:rFonts w:ascii="Times New Roman" w:hAnsi="Times New Roman" w:cs="Times New Roman"/>
          <w:kern w:val="0"/>
        </w:rPr>
        <w:t xml:space="preserve">auditors, prior studies have mainly focused on the two most effected group of </w:t>
      </w:r>
      <w:r w:rsidRPr="007F32A3">
        <w:rPr>
          <w:rFonts w:ascii="Times New Roman" w:hAnsi="Times New Roman" w:cs="Times New Roman"/>
          <w:kern w:val="0"/>
        </w:rPr>
        <w:t>KAM</w:t>
      </w:r>
      <w:r w:rsidR="00583B63" w:rsidRPr="007F32A3">
        <w:rPr>
          <w:rFonts w:ascii="Times New Roman" w:hAnsi="Times New Roman" w:cs="Times New Roman"/>
          <w:kern w:val="0"/>
        </w:rPr>
        <w:t xml:space="preserve">, </w:t>
      </w:r>
      <w:r w:rsidR="00AE784D" w:rsidRPr="007F32A3">
        <w:rPr>
          <w:rFonts w:ascii="Times New Roman" w:hAnsi="Times New Roman" w:cs="Times New Roman"/>
          <w:kern w:val="0"/>
        </w:rPr>
        <w:t>i.e.</w:t>
      </w:r>
      <w:r w:rsidR="00A4709B" w:rsidRPr="007F32A3">
        <w:rPr>
          <w:rFonts w:ascii="Times New Roman" w:hAnsi="Times New Roman" w:cs="Times New Roman"/>
          <w:kern w:val="0"/>
        </w:rPr>
        <w:t>,</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 xml:space="preserve">financial statement users (Christensen, Glover,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Wolfe</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2014; Simnett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Huggins</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2014; Boolaky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Quick</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2016; Lennox, Schmidt,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Thompson</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2015; Boolaky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Quick</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2016</w:t>
      </w:r>
      <w:r w:rsidR="00C15CA9" w:rsidRPr="007F32A3">
        <w:rPr>
          <w:rFonts w:ascii="Times New Roman" w:hAnsi="Times New Roman" w:cs="Times New Roman"/>
          <w:kern w:val="0"/>
        </w:rPr>
        <w:t>; Sirois</w:t>
      </w:r>
      <w:r w:rsidR="007F4DB7" w:rsidRPr="007F32A3">
        <w:rPr>
          <w:rFonts w:ascii="Times New Roman" w:hAnsi="Times New Roman" w:cs="Times New Roman"/>
          <w:kern w:val="0"/>
        </w:rPr>
        <w:t xml:space="preserve"> </w:t>
      </w:r>
      <w:r w:rsidR="00C15CA9" w:rsidRPr="007F32A3">
        <w:rPr>
          <w:rFonts w:ascii="Times New Roman" w:hAnsi="Times New Roman" w:cs="Times New Roman"/>
          <w:kern w:val="0"/>
        </w:rPr>
        <w:t>et al.</w:t>
      </w:r>
      <w:r w:rsidR="00AE784D" w:rsidRPr="007F32A3">
        <w:rPr>
          <w:rFonts w:ascii="Times New Roman" w:hAnsi="Times New Roman" w:cs="Times New Roman"/>
          <w:kern w:val="0"/>
        </w:rPr>
        <w:t>,</w:t>
      </w:r>
      <w:r w:rsidR="00C15CA9" w:rsidRPr="007F32A3">
        <w:rPr>
          <w:rFonts w:ascii="Times New Roman" w:hAnsi="Times New Roman" w:cs="Times New Roman"/>
          <w:kern w:val="0"/>
        </w:rPr>
        <w:t xml:space="preserve"> 2018</w:t>
      </w:r>
      <w:r w:rsidR="00583B63" w:rsidRPr="007F32A3">
        <w:rPr>
          <w:rFonts w:ascii="Times New Roman" w:hAnsi="Times New Roman" w:cs="Times New Roman"/>
          <w:kern w:val="0"/>
        </w:rPr>
        <w:t xml:space="preserve">) and auditors (e.g., Backof, Bowlin,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Goodson</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2017; Brasel, Doxey, Grenier,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Reffett</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2016; Gimbar, Hansen, </w:t>
      </w:r>
      <w:r w:rsidR="00AE3D06" w:rsidRPr="007F32A3">
        <w:rPr>
          <w:rFonts w:ascii="Times New Roman" w:hAnsi="Times New Roman" w:cs="Times New Roman"/>
          <w:kern w:val="0"/>
        </w:rPr>
        <w:t>and</w:t>
      </w:r>
      <w:r w:rsidR="00AE784D" w:rsidRPr="007F32A3">
        <w:rPr>
          <w:rFonts w:ascii="Times New Roman" w:hAnsi="Times New Roman" w:cs="Times New Roman"/>
          <w:kern w:val="0"/>
        </w:rPr>
        <w:t xml:space="preserve"> </w:t>
      </w:r>
      <w:r w:rsidR="00583B63" w:rsidRPr="007F32A3">
        <w:rPr>
          <w:rFonts w:ascii="Times New Roman" w:hAnsi="Times New Roman" w:cs="Times New Roman"/>
          <w:kern w:val="0"/>
        </w:rPr>
        <w:t>Ozlanski</w:t>
      </w:r>
      <w:r w:rsidR="00AE784D" w:rsidRPr="007F32A3">
        <w:rPr>
          <w:rFonts w:ascii="Times New Roman" w:hAnsi="Times New Roman" w:cs="Times New Roman"/>
          <w:kern w:val="0"/>
        </w:rPr>
        <w:t>,</w:t>
      </w:r>
      <w:r w:rsidR="00583B63" w:rsidRPr="007F32A3">
        <w:rPr>
          <w:rFonts w:ascii="Times New Roman" w:hAnsi="Times New Roman" w:cs="Times New Roman"/>
          <w:kern w:val="0"/>
        </w:rPr>
        <w:t xml:space="preserve"> 2016)</w:t>
      </w:r>
      <w:r w:rsidR="00550544" w:rsidRPr="007F32A3">
        <w:rPr>
          <w:rFonts w:ascii="Times New Roman" w:hAnsi="Times New Roman" w:cs="Times New Roman"/>
          <w:kern w:val="0"/>
        </w:rPr>
        <w:t>.</w:t>
      </w:r>
      <w:r w:rsidR="00583B63" w:rsidRPr="007F32A3">
        <w:rPr>
          <w:rFonts w:ascii="Times New Roman" w:hAnsi="Times New Roman" w:cs="Times New Roman"/>
          <w:kern w:val="0"/>
        </w:rPr>
        <w:t xml:space="preserve"> </w:t>
      </w:r>
    </w:p>
    <w:p w:rsidR="000D24A0" w:rsidRPr="007F32A3" w:rsidRDefault="00873D4D"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szCs w:val="24"/>
        </w:rPr>
      </w:pPr>
      <w:r w:rsidRPr="007F32A3">
        <w:rPr>
          <w:rFonts w:ascii="Times New Roman" w:hAnsi="Times New Roman" w:cs="Times New Roman"/>
          <w:kern w:val="0"/>
          <w:szCs w:val="24"/>
        </w:rPr>
        <w:t>By analyzing numerous recent academic papers related to these new</w:t>
      </w:r>
      <w:r w:rsidR="00AE784D" w:rsidRPr="007F32A3">
        <w:rPr>
          <w:rFonts w:ascii="Times New Roman" w:hAnsi="Times New Roman" w:cs="Times New Roman"/>
          <w:kern w:val="0"/>
          <w:szCs w:val="24"/>
        </w:rPr>
        <w:t>ly</w:t>
      </w:r>
      <w:r w:rsidRPr="007F32A3">
        <w:rPr>
          <w:rFonts w:ascii="Times New Roman" w:hAnsi="Times New Roman" w:cs="Times New Roman"/>
          <w:kern w:val="0"/>
          <w:szCs w:val="24"/>
        </w:rPr>
        <w:t xml:space="preserve"> proposed or issued standards around the world, </w:t>
      </w:r>
      <w:r w:rsidR="007F4DB7" w:rsidRPr="007F32A3">
        <w:rPr>
          <w:rFonts w:ascii="Times New Roman" w:hAnsi="Times New Roman" w:cs="Times New Roman"/>
          <w:kern w:val="0"/>
          <w:szCs w:val="24"/>
        </w:rPr>
        <w:t>B</w:t>
      </w:r>
      <w:r w:rsidR="00AE784D" w:rsidRPr="007F32A3">
        <w:rPr>
          <w:rFonts w:ascii="Times New Roman" w:hAnsi="Times New Roman" w:cs="Times New Roman"/>
          <w:kern w:val="0"/>
          <w:szCs w:val="24"/>
        </w:rPr>
        <w:t>é</w:t>
      </w:r>
      <w:r w:rsidR="007F4DB7" w:rsidRPr="007F32A3">
        <w:rPr>
          <w:rFonts w:ascii="Times New Roman" w:hAnsi="Times New Roman" w:cs="Times New Roman"/>
          <w:kern w:val="0"/>
          <w:szCs w:val="24"/>
        </w:rPr>
        <w:t>dard, Coram, Espahbodi, and Mock (2016)</w:t>
      </w:r>
      <w:r w:rsidRPr="007F32A3">
        <w:rPr>
          <w:rFonts w:ascii="Times New Roman" w:hAnsi="Times New Roman" w:cs="Times New Roman"/>
          <w:kern w:val="0"/>
          <w:szCs w:val="24"/>
        </w:rPr>
        <w:t xml:space="preserve"> suggested that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may improve information flow to users </w:t>
      </w:r>
      <w:r w:rsidR="00AE784D" w:rsidRPr="007F32A3">
        <w:rPr>
          <w:rFonts w:ascii="Times New Roman" w:hAnsi="Times New Roman" w:cs="Times New Roman"/>
          <w:kern w:val="0"/>
          <w:szCs w:val="24"/>
        </w:rPr>
        <w:t>in regard to</w:t>
      </w:r>
      <w:r w:rsidRPr="007F32A3">
        <w:rPr>
          <w:rFonts w:ascii="Times New Roman" w:hAnsi="Times New Roman" w:cs="Times New Roman"/>
          <w:kern w:val="0"/>
          <w:szCs w:val="24"/>
        </w:rPr>
        <w:t xml:space="preserve"> the entity and the audit but also that there may be important unintended consequences to consider, such as the impact on the auditor’s decision to report aggressive accounting estimates to the audit committee and on management’s willingness to share information with the auditor about accounting choices. Due to the limitation of data, most studies process the influence of disclosing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using the experimental method. Christensen</w:t>
      </w:r>
      <w:r w:rsidR="00E0440A" w:rsidRPr="007F32A3">
        <w:rPr>
          <w:rFonts w:ascii="Times New Roman" w:hAnsi="Times New Roman" w:cs="Times New Roman"/>
          <w:kern w:val="0"/>
          <w:szCs w:val="24"/>
        </w:rPr>
        <w:t xml:space="preserve"> et al.</w:t>
      </w:r>
      <w:r w:rsidRPr="007F32A3">
        <w:rPr>
          <w:rFonts w:ascii="Times New Roman" w:hAnsi="Times New Roman" w:cs="Times New Roman"/>
          <w:kern w:val="0"/>
          <w:szCs w:val="24"/>
        </w:rPr>
        <w:t xml:space="preserve"> (2014) </w:t>
      </w:r>
      <w:r w:rsidRPr="007F32A3">
        <w:rPr>
          <w:rFonts w:ascii="Times New Roman" w:hAnsi="Times New Roman" w:cs="Times New Roman"/>
          <w:kern w:val="0"/>
          <w:szCs w:val="24"/>
        </w:rPr>
        <w:lastRenderedPageBreak/>
        <w:t>examined how nonprofessional investors react to an audit report’s KAM paragraph</w:t>
      </w:r>
      <w:r w:rsidR="00AE784D" w:rsidRPr="007F32A3">
        <w:rPr>
          <w:rFonts w:ascii="Times New Roman" w:hAnsi="Times New Roman" w:cs="Times New Roman"/>
          <w:kern w:val="0"/>
          <w:szCs w:val="24"/>
        </w:rPr>
        <w:t>, which</w:t>
      </w:r>
      <w:r w:rsidRPr="007F32A3">
        <w:rPr>
          <w:rFonts w:ascii="Times New Roman" w:hAnsi="Times New Roman" w:cs="Times New Roman"/>
          <w:kern w:val="0"/>
          <w:szCs w:val="24"/>
        </w:rPr>
        <w:t xml:space="preserve"> is centered on the audit of fair value estimates</w:t>
      </w:r>
      <w:r w:rsidR="00AE784D" w:rsidRPr="007F32A3">
        <w:rPr>
          <w:rFonts w:ascii="Times New Roman" w:hAnsi="Times New Roman" w:cs="Times New Roman"/>
          <w:kern w:val="0"/>
          <w:szCs w:val="24"/>
        </w:rPr>
        <w:t>,</w:t>
      </w:r>
      <w:r w:rsidRPr="007F32A3">
        <w:rPr>
          <w:rFonts w:ascii="Times New Roman" w:hAnsi="Times New Roman" w:cs="Times New Roman"/>
          <w:kern w:val="0"/>
          <w:szCs w:val="24"/>
        </w:rPr>
        <w:t xml:space="preserve"> and found</w:t>
      </w:r>
      <w:r w:rsidRPr="007F32A3">
        <w:rPr>
          <w:rFonts w:ascii="Times New Roman" w:hAnsi="Times New Roman" w:cs="Times New Roman"/>
          <w:szCs w:val="24"/>
        </w:rPr>
        <w:t xml:space="preserve"> that experimental participants </w:t>
      </w:r>
      <w:r w:rsidRPr="007F32A3">
        <w:rPr>
          <w:rFonts w:ascii="Times New Roman" w:eastAsia="AdvArial" w:hAnsi="Times New Roman" w:cs="Times New Roman"/>
          <w:kern w:val="0"/>
          <w:szCs w:val="24"/>
        </w:rPr>
        <w:t xml:space="preserve">who receive a KAM paragraph are more likely to change their investment decisions. </w:t>
      </w:r>
      <w:r w:rsidR="00A4709B" w:rsidRPr="007F32A3">
        <w:rPr>
          <w:rFonts w:ascii="Times New Roman" w:eastAsia="AdvArial" w:hAnsi="Times New Roman" w:cs="Times New Roman"/>
          <w:kern w:val="0"/>
          <w:szCs w:val="24"/>
        </w:rPr>
        <w:t xml:space="preserve">The authors </w:t>
      </w:r>
      <w:r w:rsidRPr="007F32A3">
        <w:rPr>
          <w:rFonts w:ascii="Times New Roman" w:eastAsia="AdvArial" w:hAnsi="Times New Roman" w:cs="Times New Roman"/>
          <w:kern w:val="0"/>
          <w:szCs w:val="24"/>
        </w:rPr>
        <w:t xml:space="preserve">suggested that, among nonprofessional investors, communication of critical audit matters in </w:t>
      </w:r>
      <w:r w:rsidR="00AE784D" w:rsidRPr="007F32A3">
        <w:rPr>
          <w:rFonts w:ascii="Times New Roman" w:eastAsia="AdvArial" w:hAnsi="Times New Roman" w:cs="Times New Roman"/>
          <w:kern w:val="0"/>
          <w:szCs w:val="24"/>
        </w:rPr>
        <w:t xml:space="preserve">an </w:t>
      </w:r>
      <w:r w:rsidRPr="007F32A3">
        <w:rPr>
          <w:rFonts w:ascii="Times New Roman" w:eastAsia="AdvArial" w:hAnsi="Times New Roman" w:cs="Times New Roman"/>
          <w:kern w:val="0"/>
          <w:szCs w:val="24"/>
        </w:rPr>
        <w:t xml:space="preserve">audit report is influential. In contrast, the results of Boolaky and Quick (2016), who conducted an experiment involving a sample of 105 bank directors to determine the predictors of bank director perceptions and decisions, revealed that </w:t>
      </w:r>
      <w:r w:rsidR="00B21D1D" w:rsidRPr="007F32A3">
        <w:rPr>
          <w:rFonts w:ascii="Times New Roman" w:eastAsia="AdvArial" w:hAnsi="Times New Roman" w:cs="Times New Roman"/>
          <w:kern w:val="0"/>
          <w:szCs w:val="24"/>
        </w:rPr>
        <w:t>KAM</w:t>
      </w:r>
      <w:r w:rsidRPr="007F32A3">
        <w:rPr>
          <w:rFonts w:ascii="Times New Roman" w:eastAsia="AdvArial" w:hAnsi="Times New Roman" w:cs="Times New Roman"/>
          <w:kern w:val="0"/>
          <w:szCs w:val="24"/>
        </w:rPr>
        <w:t xml:space="preserve"> does not affect the perceptions and decisions of bank directors. </w:t>
      </w:r>
      <w:r w:rsidR="007F4DB7" w:rsidRPr="007F32A3">
        <w:rPr>
          <w:rFonts w:ascii="Times New Roman" w:eastAsia="AdvArial" w:hAnsi="Times New Roman" w:cs="Times New Roman"/>
          <w:kern w:val="0"/>
          <w:szCs w:val="24"/>
        </w:rPr>
        <w:t xml:space="preserve">Sirois et al. (2018) </w:t>
      </w:r>
      <w:r w:rsidR="00A4709B" w:rsidRPr="007F32A3">
        <w:rPr>
          <w:rFonts w:ascii="Times New Roman" w:eastAsia="AdvArial" w:hAnsi="Times New Roman" w:cs="Times New Roman"/>
          <w:kern w:val="0"/>
          <w:szCs w:val="24"/>
        </w:rPr>
        <w:t xml:space="preserve">extended </w:t>
      </w:r>
      <w:r w:rsidR="000D24A0" w:rsidRPr="007F32A3">
        <w:rPr>
          <w:rFonts w:ascii="Times New Roman" w:eastAsia="AdvArial" w:hAnsi="Times New Roman" w:cs="Times New Roman"/>
          <w:kern w:val="0"/>
          <w:szCs w:val="24"/>
        </w:rPr>
        <w:t xml:space="preserve">studies by improving previous experimental research on </w:t>
      </w:r>
      <w:r w:rsidR="00B21D1D" w:rsidRPr="007F32A3">
        <w:rPr>
          <w:rFonts w:ascii="Times New Roman" w:eastAsia="AdvArial" w:hAnsi="Times New Roman" w:cs="Times New Roman"/>
          <w:kern w:val="0"/>
          <w:szCs w:val="24"/>
        </w:rPr>
        <w:t>KAM</w:t>
      </w:r>
      <w:r w:rsidR="000D24A0" w:rsidRPr="007F32A3">
        <w:rPr>
          <w:rFonts w:ascii="Times New Roman" w:eastAsia="AdvArial" w:hAnsi="Times New Roman" w:cs="Times New Roman"/>
          <w:kern w:val="0"/>
          <w:szCs w:val="24"/>
        </w:rPr>
        <w:t xml:space="preserve"> by providing participants with a complete set of financial statements</w:t>
      </w:r>
      <w:r w:rsidR="00AE784D" w:rsidRPr="007F32A3">
        <w:rPr>
          <w:rFonts w:ascii="Times New Roman" w:eastAsia="AdvArial" w:hAnsi="Times New Roman" w:cs="Times New Roman"/>
          <w:kern w:val="0"/>
          <w:szCs w:val="24"/>
        </w:rPr>
        <w:t>, which</w:t>
      </w:r>
      <w:r w:rsidR="000D24A0" w:rsidRPr="007F32A3">
        <w:rPr>
          <w:rFonts w:ascii="Times New Roman" w:eastAsia="AdvArial" w:hAnsi="Times New Roman" w:cs="Times New Roman"/>
          <w:kern w:val="0"/>
          <w:szCs w:val="24"/>
        </w:rPr>
        <w:t xml:space="preserve"> is more representative of the information environment in which users actually operate. By exploring whether and how the addition of mandatory paragraphs that highlight </w:t>
      </w:r>
      <w:r w:rsidR="00B21D1D" w:rsidRPr="007F32A3">
        <w:rPr>
          <w:rFonts w:ascii="Times New Roman" w:eastAsia="AdvArial" w:hAnsi="Times New Roman" w:cs="Times New Roman"/>
          <w:kern w:val="0"/>
          <w:szCs w:val="24"/>
        </w:rPr>
        <w:t>KAM</w:t>
      </w:r>
      <w:r w:rsidR="000D24A0" w:rsidRPr="007F32A3">
        <w:rPr>
          <w:rFonts w:ascii="Times New Roman" w:eastAsia="AdvArial" w:hAnsi="Times New Roman" w:cs="Times New Roman"/>
          <w:kern w:val="0"/>
          <w:szCs w:val="24"/>
        </w:rPr>
        <w:t xml:space="preserve"> in </w:t>
      </w:r>
      <w:r w:rsidR="00AE784D" w:rsidRPr="007F32A3">
        <w:rPr>
          <w:rFonts w:ascii="Times New Roman" w:eastAsia="AdvArial" w:hAnsi="Times New Roman" w:cs="Times New Roman"/>
          <w:kern w:val="0"/>
          <w:szCs w:val="24"/>
        </w:rPr>
        <w:t xml:space="preserve">an </w:t>
      </w:r>
      <w:r w:rsidR="000D24A0" w:rsidRPr="007F32A3">
        <w:rPr>
          <w:rFonts w:ascii="Times New Roman" w:eastAsia="AdvArial" w:hAnsi="Times New Roman" w:cs="Times New Roman"/>
          <w:kern w:val="0"/>
          <w:szCs w:val="24"/>
        </w:rPr>
        <w:t xml:space="preserve">auditor’s report affects users’ information acquisition process using eye-tracking technology, Sirois et al. (2018) </w:t>
      </w:r>
      <w:r w:rsidR="00A4709B" w:rsidRPr="007F32A3">
        <w:rPr>
          <w:rFonts w:ascii="Times New Roman" w:eastAsia="AdvArial" w:hAnsi="Times New Roman" w:cs="Times New Roman"/>
          <w:kern w:val="0"/>
          <w:szCs w:val="24"/>
        </w:rPr>
        <w:t xml:space="preserve">revealed </w:t>
      </w:r>
      <w:r w:rsidR="000D24A0" w:rsidRPr="007F32A3">
        <w:rPr>
          <w:rFonts w:ascii="Times New Roman" w:eastAsia="AdvArial" w:hAnsi="Times New Roman" w:cs="Times New Roman"/>
          <w:kern w:val="0"/>
          <w:szCs w:val="24"/>
        </w:rPr>
        <w:t xml:space="preserve">that </w:t>
      </w:r>
      <w:r w:rsidR="00B21D1D" w:rsidRPr="007F32A3">
        <w:rPr>
          <w:rFonts w:ascii="Times New Roman" w:eastAsia="AdvArial" w:hAnsi="Times New Roman" w:cs="Times New Roman"/>
          <w:kern w:val="0"/>
          <w:szCs w:val="24"/>
        </w:rPr>
        <w:t>KAM</w:t>
      </w:r>
      <w:r w:rsidR="000D24A0" w:rsidRPr="007F32A3">
        <w:rPr>
          <w:rFonts w:ascii="Times New Roman" w:eastAsia="AdvArial" w:hAnsi="Times New Roman" w:cs="Times New Roman"/>
          <w:kern w:val="0"/>
          <w:szCs w:val="24"/>
        </w:rPr>
        <w:t xml:space="preserve"> </w:t>
      </w:r>
      <w:r w:rsidR="00A4709B" w:rsidRPr="007F32A3">
        <w:rPr>
          <w:rFonts w:ascii="Times New Roman" w:eastAsia="AdvArial" w:hAnsi="Times New Roman" w:cs="Times New Roman"/>
          <w:kern w:val="0"/>
          <w:szCs w:val="24"/>
        </w:rPr>
        <w:t>possess an attention-</w:t>
      </w:r>
      <w:r w:rsidR="000D24A0" w:rsidRPr="007F32A3">
        <w:rPr>
          <w:rFonts w:ascii="Times New Roman" w:eastAsia="AdvArial" w:hAnsi="Times New Roman" w:cs="Times New Roman"/>
          <w:kern w:val="0"/>
          <w:szCs w:val="24"/>
        </w:rPr>
        <w:t xml:space="preserve">directing impact, in that participants access KAM-related disclosures more rapidly and pay relatively more attention to them when </w:t>
      </w:r>
      <w:r w:rsidR="00B21D1D" w:rsidRPr="007F32A3">
        <w:rPr>
          <w:rFonts w:ascii="Times New Roman" w:eastAsia="AdvArial" w:hAnsi="Times New Roman" w:cs="Times New Roman"/>
          <w:kern w:val="0"/>
          <w:szCs w:val="24"/>
        </w:rPr>
        <w:t>KAM</w:t>
      </w:r>
      <w:r w:rsidR="000D24A0" w:rsidRPr="007F32A3">
        <w:rPr>
          <w:rFonts w:ascii="Times New Roman" w:eastAsia="AdvArial" w:hAnsi="Times New Roman" w:cs="Times New Roman"/>
          <w:kern w:val="0"/>
          <w:szCs w:val="24"/>
        </w:rPr>
        <w:t xml:space="preserve"> are communicated in </w:t>
      </w:r>
      <w:r w:rsidR="00A4709B" w:rsidRPr="007F32A3">
        <w:rPr>
          <w:rFonts w:ascii="Times New Roman" w:eastAsia="AdvArial" w:hAnsi="Times New Roman" w:cs="Times New Roman"/>
          <w:kern w:val="0"/>
          <w:szCs w:val="24"/>
        </w:rPr>
        <w:t xml:space="preserve">an </w:t>
      </w:r>
      <w:r w:rsidR="000D24A0" w:rsidRPr="007F32A3">
        <w:rPr>
          <w:rFonts w:ascii="Times New Roman" w:eastAsia="AdvArial" w:hAnsi="Times New Roman" w:cs="Times New Roman"/>
          <w:kern w:val="0"/>
          <w:szCs w:val="24"/>
        </w:rPr>
        <w:t>auditor’s report. T</w:t>
      </w:r>
      <w:r w:rsidRPr="007F32A3">
        <w:rPr>
          <w:rFonts w:ascii="Times New Roman" w:hAnsi="Times New Roman" w:cs="Times New Roman"/>
          <w:kern w:val="0"/>
          <w:szCs w:val="24"/>
        </w:rPr>
        <w:t xml:space="preserve">he only </w:t>
      </w:r>
      <w:r w:rsidR="007F4DB7" w:rsidRPr="007F32A3">
        <w:rPr>
          <w:rFonts w:ascii="Times New Roman" w:hAnsi="Times New Roman" w:cs="Times New Roman"/>
          <w:kern w:val="0"/>
          <w:szCs w:val="24"/>
        </w:rPr>
        <w:t xml:space="preserve">published </w:t>
      </w:r>
      <w:r w:rsidRPr="007F32A3">
        <w:rPr>
          <w:rFonts w:ascii="Times New Roman" w:hAnsi="Times New Roman" w:cs="Times New Roman"/>
          <w:kern w:val="0"/>
          <w:szCs w:val="24"/>
        </w:rPr>
        <w:t>empirical evidence</w:t>
      </w:r>
      <w:r w:rsidR="000D24A0" w:rsidRPr="007F32A3">
        <w:rPr>
          <w:rFonts w:ascii="Times New Roman" w:hAnsi="Times New Roman" w:cs="Times New Roman"/>
        </w:rPr>
        <w:t>, t</w:t>
      </w:r>
      <w:r w:rsidR="000D24A0" w:rsidRPr="007F32A3">
        <w:rPr>
          <w:rFonts w:ascii="Times New Roman" w:hAnsi="Times New Roman" w:cs="Times New Roman"/>
          <w:kern w:val="0"/>
          <w:szCs w:val="24"/>
        </w:rPr>
        <w:t>o our knowledge,</w:t>
      </w:r>
      <w:r w:rsidRPr="007F32A3">
        <w:rPr>
          <w:rFonts w:ascii="Times New Roman" w:hAnsi="Times New Roman" w:cs="Times New Roman"/>
          <w:kern w:val="0"/>
          <w:szCs w:val="24"/>
        </w:rPr>
        <w:t xml:space="preserve"> about the information content of </w:t>
      </w:r>
      <w:r w:rsidR="00B21D1D" w:rsidRPr="007F32A3">
        <w:rPr>
          <w:rFonts w:ascii="Times New Roman" w:hAnsi="Times New Roman" w:cs="Times New Roman"/>
          <w:kern w:val="0"/>
          <w:szCs w:val="24"/>
        </w:rPr>
        <w:t>KAM</w:t>
      </w:r>
      <w:r w:rsidRPr="007F32A3">
        <w:rPr>
          <w:rFonts w:ascii="Times New Roman" w:hAnsi="Times New Roman" w:cs="Times New Roman"/>
          <w:kern w:val="0"/>
          <w:szCs w:val="24"/>
        </w:rPr>
        <w:t xml:space="preserve"> is provided by </w:t>
      </w:r>
      <w:r w:rsidRPr="007F32A3">
        <w:rPr>
          <w:rFonts w:ascii="Times New Roman" w:hAnsi="Times New Roman" w:cs="Times New Roman"/>
          <w:szCs w:val="24"/>
        </w:rPr>
        <w:t xml:space="preserve">Lennox et al. (2015) who explored the market reaction to auditors’ risks of material misstatement (which </w:t>
      </w:r>
      <w:r w:rsidR="00AE784D" w:rsidRPr="007F32A3">
        <w:rPr>
          <w:rFonts w:ascii="Times New Roman" w:hAnsi="Times New Roman" w:cs="Times New Roman"/>
          <w:szCs w:val="24"/>
        </w:rPr>
        <w:t xml:space="preserve">are </w:t>
      </w:r>
      <w:r w:rsidRPr="007F32A3">
        <w:rPr>
          <w:rFonts w:ascii="Times New Roman" w:hAnsi="Times New Roman" w:cs="Times New Roman"/>
          <w:szCs w:val="24"/>
        </w:rPr>
        <w:t xml:space="preserve">denoted as RMMs in their study) disclosure in the audit reports of 488 UK companies that are subject to the new audit reporting standard. By processing both short- and long-window market reactions to measure investors’ responses to the new risk disclosures, </w:t>
      </w:r>
      <w:r w:rsidR="00AE784D" w:rsidRPr="007F32A3">
        <w:rPr>
          <w:rFonts w:ascii="Times New Roman" w:hAnsi="Times New Roman" w:cs="Times New Roman"/>
          <w:szCs w:val="24"/>
        </w:rPr>
        <w:t xml:space="preserve">the researchers </w:t>
      </w:r>
      <w:r w:rsidR="00A4709B" w:rsidRPr="007F32A3">
        <w:rPr>
          <w:rFonts w:ascii="Times New Roman" w:hAnsi="Times New Roman" w:cs="Times New Roman"/>
          <w:szCs w:val="24"/>
        </w:rPr>
        <w:t xml:space="preserve">revealed </w:t>
      </w:r>
      <w:r w:rsidRPr="007F32A3">
        <w:rPr>
          <w:rFonts w:ascii="Times New Roman" w:hAnsi="Times New Roman" w:cs="Times New Roman"/>
          <w:szCs w:val="24"/>
        </w:rPr>
        <w:t xml:space="preserve">that investors do not find these disclosures incrementally informative. Overall, prior studies provide mixed evidence regarding whether investors will obtain useful information from </w:t>
      </w:r>
      <w:r w:rsidR="00B21D1D" w:rsidRPr="007F32A3">
        <w:rPr>
          <w:rFonts w:ascii="Times New Roman" w:hAnsi="Times New Roman" w:cs="Times New Roman"/>
          <w:szCs w:val="24"/>
        </w:rPr>
        <w:t>KAM</w:t>
      </w:r>
      <w:r w:rsidRPr="007F32A3">
        <w:rPr>
          <w:rFonts w:ascii="Times New Roman" w:hAnsi="Times New Roman" w:cs="Times New Roman"/>
          <w:szCs w:val="24"/>
        </w:rPr>
        <w:t xml:space="preserve"> disclosures. </w:t>
      </w:r>
    </w:p>
    <w:p w:rsidR="00784906" w:rsidRPr="007F32A3" w:rsidRDefault="00286FDB"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szCs w:val="24"/>
        </w:rPr>
      </w:pPr>
      <w:r w:rsidRPr="007F32A3">
        <w:rPr>
          <w:rFonts w:ascii="Times New Roman" w:hAnsi="Times New Roman" w:cs="Times New Roman"/>
          <w:szCs w:val="24"/>
        </w:rPr>
        <w:t xml:space="preserve">While prior studies have provided diverse results of the incremental informativeness of </w:t>
      </w:r>
      <w:r w:rsidR="00B21D1D" w:rsidRPr="007F32A3">
        <w:rPr>
          <w:rFonts w:ascii="Times New Roman" w:hAnsi="Times New Roman" w:cs="Times New Roman"/>
          <w:szCs w:val="24"/>
        </w:rPr>
        <w:t>KAM</w:t>
      </w:r>
      <w:r w:rsidR="00B31438" w:rsidRPr="007F32A3">
        <w:rPr>
          <w:rFonts w:ascii="Times New Roman" w:hAnsi="Times New Roman" w:cs="Times New Roman"/>
          <w:kern w:val="0"/>
          <w:szCs w:val="24"/>
        </w:rPr>
        <w:t xml:space="preserve">, </w:t>
      </w:r>
      <w:r w:rsidR="00AE37FE" w:rsidRPr="007F32A3">
        <w:rPr>
          <w:rFonts w:ascii="Times New Roman" w:hAnsi="Times New Roman" w:cs="Times New Roman"/>
          <w:kern w:val="0"/>
          <w:szCs w:val="24"/>
        </w:rPr>
        <w:t>t</w:t>
      </w:r>
      <w:r w:rsidRPr="007F32A3">
        <w:rPr>
          <w:rFonts w:ascii="Times New Roman" w:hAnsi="Times New Roman" w:cs="Times New Roman"/>
          <w:kern w:val="0"/>
          <w:szCs w:val="24"/>
        </w:rPr>
        <w:t xml:space="preserve">his study </w:t>
      </w:r>
      <w:r w:rsidR="00AE37FE" w:rsidRPr="007F32A3">
        <w:rPr>
          <w:rFonts w:ascii="Times New Roman" w:hAnsi="Times New Roman" w:cs="Times New Roman"/>
          <w:kern w:val="0"/>
          <w:szCs w:val="24"/>
        </w:rPr>
        <w:t>cogitates</w:t>
      </w:r>
      <w:r w:rsidRPr="007F32A3">
        <w:rPr>
          <w:rFonts w:ascii="Times New Roman" w:hAnsi="Times New Roman" w:cs="Times New Roman"/>
          <w:kern w:val="0"/>
          <w:szCs w:val="24"/>
        </w:rPr>
        <w:t xml:space="preserve"> </w:t>
      </w:r>
      <w:r w:rsidR="00AE37FE" w:rsidRPr="007F32A3">
        <w:rPr>
          <w:rFonts w:ascii="Times New Roman" w:hAnsi="Times New Roman" w:cs="Times New Roman"/>
          <w:kern w:val="0"/>
          <w:szCs w:val="24"/>
        </w:rPr>
        <w:t xml:space="preserve">that the increased information value of </w:t>
      </w:r>
      <w:r w:rsidR="00B21D1D" w:rsidRPr="007F32A3">
        <w:rPr>
          <w:rFonts w:ascii="Times New Roman" w:hAnsi="Times New Roman" w:cs="Times New Roman"/>
          <w:kern w:val="0"/>
          <w:szCs w:val="24"/>
        </w:rPr>
        <w:t>KAM</w:t>
      </w:r>
      <w:r w:rsidR="00AE37FE" w:rsidRPr="007F32A3">
        <w:rPr>
          <w:rFonts w:ascii="Times New Roman" w:hAnsi="Times New Roman" w:cs="Times New Roman"/>
          <w:kern w:val="0"/>
          <w:szCs w:val="24"/>
        </w:rPr>
        <w:t xml:space="preserve"> should be </w:t>
      </w:r>
      <w:r w:rsidR="00784906" w:rsidRPr="007F32A3">
        <w:rPr>
          <w:rFonts w:ascii="Times New Roman" w:hAnsi="Times New Roman" w:cs="Times New Roman"/>
          <w:kern w:val="0"/>
          <w:szCs w:val="24"/>
        </w:rPr>
        <w:t>varied</w:t>
      </w:r>
      <w:r w:rsidR="00AE37FE" w:rsidRPr="007F32A3">
        <w:rPr>
          <w:rFonts w:ascii="Times New Roman" w:hAnsi="Times New Roman" w:cs="Times New Roman"/>
          <w:kern w:val="0"/>
          <w:szCs w:val="24"/>
        </w:rPr>
        <w:t xml:space="preserve"> by the </w:t>
      </w:r>
      <w:r w:rsidR="00784906" w:rsidRPr="007F32A3">
        <w:rPr>
          <w:rFonts w:ascii="Times New Roman" w:hAnsi="Times New Roman" w:cs="Times New Roman"/>
          <w:kern w:val="0"/>
          <w:szCs w:val="24"/>
        </w:rPr>
        <w:t>variance</w:t>
      </w:r>
      <w:r w:rsidR="00AE37FE" w:rsidRPr="007F32A3">
        <w:rPr>
          <w:rFonts w:ascii="Times New Roman" w:hAnsi="Times New Roman" w:cs="Times New Roman"/>
          <w:kern w:val="0"/>
          <w:szCs w:val="24"/>
        </w:rPr>
        <w:t xml:space="preserve"> of audit quality.</w:t>
      </w:r>
      <w:r w:rsidR="00784906" w:rsidRPr="007F32A3">
        <w:rPr>
          <w:rFonts w:ascii="Times New Roman" w:hAnsi="Times New Roman" w:cs="Times New Roman"/>
          <w:kern w:val="0"/>
          <w:szCs w:val="24"/>
        </w:rPr>
        <w:t xml:space="preserve"> </w:t>
      </w:r>
      <w:r w:rsidR="00AE784D" w:rsidRPr="007F32A3">
        <w:rPr>
          <w:rFonts w:ascii="Times New Roman" w:hAnsi="Times New Roman" w:cs="Times New Roman"/>
          <w:kern w:val="0"/>
          <w:szCs w:val="24"/>
        </w:rPr>
        <w:t xml:space="preserve">Because </w:t>
      </w:r>
      <w:r w:rsidR="00B21D1D" w:rsidRPr="007F32A3">
        <w:rPr>
          <w:rFonts w:ascii="Times New Roman" w:hAnsi="Times New Roman" w:cs="Times New Roman"/>
          <w:bCs/>
          <w:iCs/>
          <w:szCs w:val="24"/>
        </w:rPr>
        <w:t>KAM</w:t>
      </w:r>
      <w:r w:rsidR="00784906" w:rsidRPr="007F32A3">
        <w:rPr>
          <w:rFonts w:ascii="Times New Roman" w:hAnsi="Times New Roman" w:cs="Times New Roman"/>
          <w:bCs/>
          <w:iCs/>
          <w:szCs w:val="24"/>
        </w:rPr>
        <w:t xml:space="preserve"> are </w:t>
      </w:r>
      <w:r w:rsidR="001D57D1" w:rsidRPr="007F32A3">
        <w:rPr>
          <w:rFonts w:ascii="Times New Roman" w:hAnsi="Times New Roman" w:cs="Times New Roman"/>
          <w:bCs/>
          <w:iCs/>
          <w:szCs w:val="24"/>
        </w:rPr>
        <w:t>required</w:t>
      </w:r>
      <w:r w:rsidR="00784906" w:rsidRPr="007F32A3">
        <w:rPr>
          <w:rFonts w:ascii="Times New Roman" w:hAnsi="Times New Roman" w:cs="Times New Roman"/>
          <w:bCs/>
          <w:iCs/>
          <w:szCs w:val="24"/>
        </w:rPr>
        <w:t xml:space="preserve"> to </w:t>
      </w:r>
      <w:r w:rsidR="001D57D1" w:rsidRPr="007F32A3">
        <w:rPr>
          <w:rFonts w:ascii="Times New Roman" w:hAnsi="Times New Roman" w:cs="Times New Roman"/>
          <w:bCs/>
          <w:iCs/>
          <w:szCs w:val="24"/>
        </w:rPr>
        <w:t>communicate</w:t>
      </w:r>
      <w:r w:rsidR="00784906" w:rsidRPr="007F32A3">
        <w:rPr>
          <w:rFonts w:ascii="Times New Roman" w:hAnsi="Times New Roman" w:cs="Times New Roman"/>
          <w:bCs/>
          <w:iCs/>
          <w:szCs w:val="24"/>
        </w:rPr>
        <w:t xml:space="preserve"> regarding matters that, in the auditor’s professional judgment, </w:t>
      </w:r>
      <w:r w:rsidR="00A4709B" w:rsidRPr="007F32A3">
        <w:rPr>
          <w:rFonts w:ascii="Times New Roman" w:hAnsi="Times New Roman" w:cs="Times New Roman"/>
          <w:bCs/>
          <w:iCs/>
          <w:szCs w:val="24"/>
        </w:rPr>
        <w:t xml:space="preserve">are </w:t>
      </w:r>
      <w:r w:rsidR="00784906" w:rsidRPr="007F32A3">
        <w:rPr>
          <w:rFonts w:ascii="Times New Roman" w:hAnsi="Times New Roman" w:cs="Times New Roman"/>
          <w:bCs/>
          <w:iCs/>
          <w:szCs w:val="24"/>
        </w:rPr>
        <w:t xml:space="preserve">of </w:t>
      </w:r>
      <w:r w:rsidR="00A4709B" w:rsidRPr="007F32A3">
        <w:rPr>
          <w:rFonts w:ascii="Times New Roman" w:hAnsi="Times New Roman" w:cs="Times New Roman"/>
          <w:bCs/>
          <w:iCs/>
          <w:szCs w:val="24"/>
        </w:rPr>
        <w:t xml:space="preserve">the </w:t>
      </w:r>
      <w:r w:rsidR="00784906" w:rsidRPr="007F32A3">
        <w:rPr>
          <w:rFonts w:ascii="Times New Roman" w:hAnsi="Times New Roman" w:cs="Times New Roman"/>
          <w:bCs/>
          <w:iCs/>
          <w:szCs w:val="24"/>
        </w:rPr>
        <w:t>greatest significance in the audit of financial statements of the current period</w:t>
      </w:r>
      <w:r w:rsidR="00AE784D" w:rsidRPr="007F32A3">
        <w:rPr>
          <w:rFonts w:ascii="Times New Roman" w:hAnsi="Times New Roman" w:cs="Times New Roman"/>
          <w:szCs w:val="24"/>
        </w:rPr>
        <w:t xml:space="preserve">, </w:t>
      </w:r>
      <w:r w:rsidR="00784906" w:rsidRPr="007F32A3">
        <w:rPr>
          <w:rFonts w:ascii="Times New Roman" w:hAnsi="Times New Roman" w:cs="Times New Roman"/>
          <w:szCs w:val="24"/>
        </w:rPr>
        <w:t xml:space="preserve">the ability of auditors to identify </w:t>
      </w:r>
      <w:r w:rsidR="00B21D1D" w:rsidRPr="007F32A3">
        <w:rPr>
          <w:rFonts w:ascii="Times New Roman" w:hAnsi="Times New Roman" w:cs="Times New Roman"/>
          <w:szCs w:val="24"/>
        </w:rPr>
        <w:t>KAM</w:t>
      </w:r>
      <w:r w:rsidR="00784906" w:rsidRPr="007F32A3">
        <w:rPr>
          <w:rFonts w:ascii="Times New Roman" w:hAnsi="Times New Roman" w:cs="Times New Roman"/>
          <w:szCs w:val="24"/>
        </w:rPr>
        <w:t xml:space="preserve"> that are </w:t>
      </w:r>
      <w:r w:rsidR="001D57D1" w:rsidRPr="007F32A3">
        <w:rPr>
          <w:rFonts w:ascii="Times New Roman" w:hAnsi="Times New Roman" w:cs="Times New Roman"/>
          <w:szCs w:val="24"/>
        </w:rPr>
        <w:t>actually</w:t>
      </w:r>
      <w:r w:rsidR="00784906" w:rsidRPr="007F32A3">
        <w:rPr>
          <w:rFonts w:ascii="Times New Roman" w:hAnsi="Times New Roman" w:cs="Times New Roman"/>
          <w:szCs w:val="24"/>
        </w:rPr>
        <w:t xml:space="preserve"> </w:t>
      </w:r>
      <w:r w:rsidR="001D57D1" w:rsidRPr="007F32A3">
        <w:rPr>
          <w:rFonts w:ascii="Times New Roman" w:hAnsi="Times New Roman" w:cs="Times New Roman"/>
          <w:szCs w:val="24"/>
        </w:rPr>
        <w:t>substantial</w:t>
      </w:r>
      <w:r w:rsidR="00784906" w:rsidRPr="007F32A3">
        <w:rPr>
          <w:rFonts w:ascii="Times New Roman" w:hAnsi="Times New Roman" w:cs="Times New Roman"/>
          <w:szCs w:val="24"/>
        </w:rPr>
        <w:t xml:space="preserve"> and the capacity </w:t>
      </w:r>
      <w:r w:rsidR="00784906" w:rsidRPr="007F32A3">
        <w:rPr>
          <w:rFonts w:ascii="Times New Roman" w:hAnsi="Times New Roman" w:cs="Times New Roman"/>
          <w:szCs w:val="24"/>
        </w:rPr>
        <w:lastRenderedPageBreak/>
        <w:t>and independence of auditors to properly disclose</w:t>
      </w:r>
      <w:r w:rsidR="001D57D1" w:rsidRPr="007F32A3">
        <w:rPr>
          <w:rFonts w:ascii="Times New Roman" w:hAnsi="Times New Roman" w:cs="Times New Roman"/>
          <w:szCs w:val="24"/>
        </w:rPr>
        <w:t xml:space="preserve"> them</w:t>
      </w:r>
      <w:r w:rsidR="00784906" w:rsidRPr="007F32A3">
        <w:rPr>
          <w:rFonts w:ascii="Times New Roman" w:hAnsi="Times New Roman" w:cs="Times New Roman"/>
          <w:szCs w:val="24"/>
        </w:rPr>
        <w:t xml:space="preserve"> </w:t>
      </w:r>
      <w:r w:rsidR="001D57D1" w:rsidRPr="007F32A3">
        <w:rPr>
          <w:rFonts w:ascii="Times New Roman" w:hAnsi="Times New Roman" w:cs="Times New Roman"/>
          <w:szCs w:val="24"/>
        </w:rPr>
        <w:t xml:space="preserve">are the anterior question </w:t>
      </w:r>
      <w:r w:rsidR="00A4709B" w:rsidRPr="007F32A3">
        <w:rPr>
          <w:rFonts w:ascii="Times New Roman" w:hAnsi="Times New Roman" w:cs="Times New Roman"/>
          <w:szCs w:val="24"/>
        </w:rPr>
        <w:t xml:space="preserve">that </w:t>
      </w:r>
      <w:r w:rsidR="001D57D1" w:rsidRPr="007F32A3">
        <w:rPr>
          <w:rFonts w:ascii="Times New Roman" w:hAnsi="Times New Roman" w:cs="Times New Roman"/>
          <w:szCs w:val="24"/>
        </w:rPr>
        <w:t>should be considered</w:t>
      </w:r>
      <w:r w:rsidR="00AE784D" w:rsidRPr="007F32A3">
        <w:rPr>
          <w:rFonts w:ascii="Times New Roman" w:hAnsi="Times New Roman" w:cs="Times New Roman"/>
          <w:szCs w:val="24"/>
        </w:rPr>
        <w:t>, as</w:t>
      </w:r>
      <w:r w:rsidR="001D57D1" w:rsidRPr="007F32A3">
        <w:rPr>
          <w:rFonts w:ascii="Times New Roman" w:hAnsi="Times New Roman" w:cs="Times New Roman"/>
          <w:szCs w:val="24"/>
        </w:rPr>
        <w:t xml:space="preserve"> </w:t>
      </w:r>
      <w:r w:rsidR="00B21D1D" w:rsidRPr="007F32A3">
        <w:rPr>
          <w:rFonts w:ascii="Times New Roman" w:hAnsi="Times New Roman" w:cs="Times New Roman"/>
          <w:szCs w:val="24"/>
        </w:rPr>
        <w:t>KAM</w:t>
      </w:r>
      <w:r w:rsidR="001D57D1" w:rsidRPr="007F32A3">
        <w:rPr>
          <w:rFonts w:ascii="Times New Roman" w:hAnsi="Times New Roman" w:cs="Times New Roman"/>
          <w:szCs w:val="24"/>
        </w:rPr>
        <w:t xml:space="preserve"> can hardly increase its informativeness for investors unless the information quality revealed by </w:t>
      </w:r>
      <w:r w:rsidR="00B21D1D" w:rsidRPr="007F32A3">
        <w:rPr>
          <w:rFonts w:ascii="Times New Roman" w:hAnsi="Times New Roman" w:cs="Times New Roman"/>
          <w:szCs w:val="24"/>
        </w:rPr>
        <w:t>KAM</w:t>
      </w:r>
      <w:r w:rsidR="001D57D1" w:rsidRPr="007F32A3">
        <w:rPr>
          <w:rFonts w:ascii="Times New Roman" w:hAnsi="Times New Roman" w:cs="Times New Roman"/>
          <w:szCs w:val="24"/>
        </w:rPr>
        <w:t xml:space="preserve"> is adequate.</w:t>
      </w:r>
    </w:p>
    <w:p w:rsidR="007A3C2F" w:rsidRPr="007F32A3" w:rsidRDefault="007A3C2F" w:rsidP="0061290E">
      <w:pPr>
        <w:autoSpaceDE w:val="0"/>
        <w:autoSpaceDN w:val="0"/>
        <w:adjustRightInd w:val="0"/>
        <w:snapToGrid w:val="0"/>
        <w:spacing w:beforeLines="50" w:before="180" w:afterLines="50" w:after="180" w:line="480" w:lineRule="auto"/>
        <w:jc w:val="both"/>
        <w:rPr>
          <w:rFonts w:ascii="Times New Roman" w:hAnsi="Times New Roman" w:cs="Times New Roman"/>
          <w:b/>
          <w:bCs/>
          <w:kern w:val="0"/>
          <w:szCs w:val="24"/>
        </w:rPr>
      </w:pPr>
      <w:r w:rsidRPr="007F32A3">
        <w:rPr>
          <w:rFonts w:ascii="Times New Roman" w:hAnsi="Times New Roman" w:cs="Times New Roman"/>
          <w:b/>
          <w:bCs/>
          <w:kern w:val="0"/>
          <w:szCs w:val="24"/>
        </w:rPr>
        <w:t xml:space="preserve">Impacts of auditor industry specialization on </w:t>
      </w:r>
      <w:r w:rsidR="00B21D1D" w:rsidRPr="007F32A3">
        <w:rPr>
          <w:rFonts w:ascii="Times New Roman" w:hAnsi="Times New Roman" w:cs="Times New Roman"/>
          <w:b/>
          <w:bCs/>
          <w:kern w:val="0"/>
          <w:szCs w:val="24"/>
        </w:rPr>
        <w:t>KAM</w:t>
      </w:r>
      <w:r w:rsidRPr="007F32A3">
        <w:rPr>
          <w:rFonts w:ascii="Times New Roman" w:hAnsi="Times New Roman" w:cs="Times New Roman"/>
          <w:b/>
          <w:bCs/>
          <w:kern w:val="0"/>
          <w:szCs w:val="24"/>
        </w:rPr>
        <w:t xml:space="preserve"> disclosure</w:t>
      </w:r>
    </w:p>
    <w:p w:rsidR="00C807AC" w:rsidRPr="007F32A3" w:rsidRDefault="00A82898"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rPr>
      </w:pPr>
      <w:r w:rsidRPr="007F32A3">
        <w:rPr>
          <w:rFonts w:ascii="Times New Roman" w:hAnsi="Times New Roman" w:cs="Times New Roman"/>
        </w:rPr>
        <w:t>Industry specialist auditors</w:t>
      </w:r>
      <w:r w:rsidR="00CA3E35" w:rsidRPr="007F32A3">
        <w:rPr>
          <w:rFonts w:ascii="Times New Roman" w:hAnsi="Times New Roman" w:cs="Times New Roman"/>
        </w:rPr>
        <w:t xml:space="preserve"> </w:t>
      </w:r>
      <w:r w:rsidR="00AE784D" w:rsidRPr="007F32A3">
        <w:rPr>
          <w:rFonts w:ascii="Times New Roman" w:hAnsi="Times New Roman" w:cs="Times New Roman"/>
        </w:rPr>
        <w:t xml:space="preserve">typically </w:t>
      </w:r>
      <w:r w:rsidRPr="007F32A3">
        <w:rPr>
          <w:rFonts w:ascii="Times New Roman" w:hAnsi="Times New Roman" w:cs="Times New Roman"/>
        </w:rPr>
        <w:t>demonstrate</w:t>
      </w:r>
      <w:r w:rsidR="00AE784D" w:rsidRPr="007F32A3">
        <w:rPr>
          <w:rFonts w:ascii="Times New Roman" w:hAnsi="Times New Roman" w:cs="Times New Roman"/>
        </w:rPr>
        <w:t xml:space="preserve"> </w:t>
      </w:r>
      <w:r w:rsidR="00CA3E35" w:rsidRPr="007F32A3">
        <w:rPr>
          <w:rFonts w:ascii="Times New Roman" w:hAnsi="Times New Roman" w:cs="Times New Roman"/>
        </w:rPr>
        <w:t>superior</w:t>
      </w:r>
      <w:r w:rsidRPr="007F32A3">
        <w:rPr>
          <w:rFonts w:ascii="Times New Roman" w:hAnsi="Times New Roman" w:cs="Times New Roman"/>
        </w:rPr>
        <w:t xml:space="preserve"> </w:t>
      </w:r>
      <w:r w:rsidR="00CA3E35" w:rsidRPr="007F32A3">
        <w:rPr>
          <w:rFonts w:ascii="Times New Roman" w:hAnsi="Times New Roman" w:cs="Times New Roman"/>
        </w:rPr>
        <w:t>competence</w:t>
      </w:r>
      <w:r w:rsidRPr="007F32A3">
        <w:rPr>
          <w:rFonts w:ascii="Times New Roman" w:hAnsi="Times New Roman" w:cs="Times New Roman"/>
        </w:rPr>
        <w:t xml:space="preserve"> and higher </w:t>
      </w:r>
      <w:r w:rsidR="00A4709B" w:rsidRPr="007F32A3">
        <w:rPr>
          <w:rFonts w:ascii="Times New Roman" w:hAnsi="Times New Roman" w:cs="Times New Roman"/>
        </w:rPr>
        <w:t xml:space="preserve">independence </w:t>
      </w:r>
      <w:r w:rsidR="00CA3E35" w:rsidRPr="007F32A3">
        <w:rPr>
          <w:rFonts w:ascii="Times New Roman" w:hAnsi="Times New Roman" w:cs="Times New Roman"/>
        </w:rPr>
        <w:t>for their industry (or client)</w:t>
      </w:r>
      <w:r w:rsidR="00AE784D" w:rsidRPr="007F32A3">
        <w:rPr>
          <w:rFonts w:ascii="Times New Roman" w:hAnsi="Times New Roman" w:cs="Times New Roman"/>
        </w:rPr>
        <w:t>, along with</w:t>
      </w:r>
      <w:r w:rsidR="00CA3E35" w:rsidRPr="007F32A3">
        <w:rPr>
          <w:rFonts w:ascii="Times New Roman" w:hAnsi="Times New Roman" w:cs="Times New Roman"/>
        </w:rPr>
        <w:t xml:space="preserve"> specific knowledge and reputation </w:t>
      </w:r>
      <w:r w:rsidRPr="007F32A3">
        <w:rPr>
          <w:rFonts w:ascii="Times New Roman" w:hAnsi="Times New Roman" w:cs="Times New Roman"/>
        </w:rPr>
        <w:t xml:space="preserve">(Liu, Xie, Chang, </w:t>
      </w:r>
      <w:r w:rsidR="00AE3D06" w:rsidRPr="007F32A3">
        <w:rPr>
          <w:rFonts w:ascii="Times New Roman" w:hAnsi="Times New Roman" w:cs="Times New Roman"/>
        </w:rPr>
        <w:t>and</w:t>
      </w:r>
      <w:r w:rsidR="00AE784D" w:rsidRPr="007F32A3">
        <w:rPr>
          <w:rFonts w:ascii="Times New Roman" w:hAnsi="Times New Roman" w:cs="Times New Roman"/>
        </w:rPr>
        <w:t xml:space="preserve"> </w:t>
      </w:r>
      <w:r w:rsidRPr="007F32A3">
        <w:rPr>
          <w:rFonts w:ascii="Times New Roman" w:hAnsi="Times New Roman" w:cs="Times New Roman"/>
        </w:rPr>
        <w:t>Forgione</w:t>
      </w:r>
      <w:r w:rsidR="00AE784D" w:rsidRPr="007F32A3">
        <w:rPr>
          <w:rFonts w:ascii="Times New Roman" w:hAnsi="Times New Roman" w:cs="Times New Roman"/>
        </w:rPr>
        <w:t>,</w:t>
      </w:r>
      <w:r w:rsidRPr="007F32A3">
        <w:rPr>
          <w:rFonts w:ascii="Times New Roman" w:hAnsi="Times New Roman" w:cs="Times New Roman"/>
        </w:rPr>
        <w:t xml:space="preserve"> 2017; Rose-Green, Huang, </w:t>
      </w:r>
      <w:r w:rsidR="00AE3D06" w:rsidRPr="007F32A3">
        <w:rPr>
          <w:rFonts w:ascii="Times New Roman" w:hAnsi="Times New Roman" w:cs="Times New Roman"/>
        </w:rPr>
        <w:t>and</w:t>
      </w:r>
      <w:r w:rsidR="00AE784D" w:rsidRPr="007F32A3">
        <w:rPr>
          <w:rFonts w:ascii="Times New Roman" w:hAnsi="Times New Roman" w:cs="Times New Roman"/>
        </w:rPr>
        <w:t xml:space="preserve"> </w:t>
      </w:r>
      <w:r w:rsidRPr="007F32A3">
        <w:rPr>
          <w:rFonts w:ascii="Times New Roman" w:hAnsi="Times New Roman" w:cs="Times New Roman"/>
        </w:rPr>
        <w:t>Lee</w:t>
      </w:r>
      <w:r w:rsidR="00AE784D" w:rsidRPr="007F32A3">
        <w:rPr>
          <w:rFonts w:ascii="Times New Roman" w:hAnsi="Times New Roman" w:cs="Times New Roman"/>
        </w:rPr>
        <w:t>,</w:t>
      </w:r>
      <w:r w:rsidRPr="007F32A3">
        <w:rPr>
          <w:rFonts w:ascii="Times New Roman" w:hAnsi="Times New Roman" w:cs="Times New Roman"/>
        </w:rPr>
        <w:t xml:space="preserve"> 2011; Reichelt </w:t>
      </w:r>
      <w:r w:rsidR="00AE3D06" w:rsidRPr="007F32A3">
        <w:rPr>
          <w:rFonts w:ascii="Times New Roman" w:hAnsi="Times New Roman" w:cs="Times New Roman"/>
        </w:rPr>
        <w:t>and</w:t>
      </w:r>
      <w:r w:rsidR="00AE784D" w:rsidRPr="007F32A3">
        <w:rPr>
          <w:rFonts w:ascii="Times New Roman" w:hAnsi="Times New Roman" w:cs="Times New Roman"/>
        </w:rPr>
        <w:t xml:space="preserve"> </w:t>
      </w:r>
      <w:r w:rsidRPr="007F32A3">
        <w:rPr>
          <w:rFonts w:ascii="Times New Roman" w:hAnsi="Times New Roman" w:cs="Times New Roman"/>
        </w:rPr>
        <w:t>Wang</w:t>
      </w:r>
      <w:r w:rsidR="00AE784D" w:rsidRPr="007F32A3">
        <w:rPr>
          <w:rFonts w:ascii="Times New Roman" w:hAnsi="Times New Roman" w:cs="Times New Roman"/>
        </w:rPr>
        <w:t>,</w:t>
      </w:r>
      <w:r w:rsidRPr="007F32A3">
        <w:rPr>
          <w:rFonts w:ascii="Times New Roman" w:hAnsi="Times New Roman" w:cs="Times New Roman"/>
        </w:rPr>
        <w:t xml:space="preserve"> 2010; Chin </w:t>
      </w:r>
      <w:r w:rsidR="00AE3D06" w:rsidRPr="007F32A3">
        <w:rPr>
          <w:rFonts w:ascii="Times New Roman" w:hAnsi="Times New Roman" w:cs="Times New Roman"/>
        </w:rPr>
        <w:t>and</w:t>
      </w:r>
      <w:r w:rsidR="00AE784D" w:rsidRPr="007F32A3">
        <w:rPr>
          <w:rFonts w:ascii="Times New Roman" w:hAnsi="Times New Roman" w:cs="Times New Roman"/>
        </w:rPr>
        <w:t xml:space="preserve"> </w:t>
      </w:r>
      <w:r w:rsidRPr="007F32A3">
        <w:rPr>
          <w:rFonts w:ascii="Times New Roman" w:hAnsi="Times New Roman" w:cs="Times New Roman"/>
        </w:rPr>
        <w:t>Chi</w:t>
      </w:r>
      <w:r w:rsidR="00AE784D" w:rsidRPr="007F32A3">
        <w:rPr>
          <w:rFonts w:ascii="Times New Roman" w:hAnsi="Times New Roman" w:cs="Times New Roman"/>
        </w:rPr>
        <w:t>,</w:t>
      </w:r>
      <w:r w:rsidRPr="007F32A3">
        <w:rPr>
          <w:rFonts w:ascii="Times New Roman" w:hAnsi="Times New Roman" w:cs="Times New Roman"/>
        </w:rPr>
        <w:t xml:space="preserve"> 2009; Gul et al.</w:t>
      </w:r>
      <w:r w:rsidR="00AE784D" w:rsidRPr="007F32A3">
        <w:rPr>
          <w:rFonts w:ascii="Times New Roman" w:hAnsi="Times New Roman" w:cs="Times New Roman"/>
        </w:rPr>
        <w:t>,</w:t>
      </w:r>
      <w:r w:rsidRPr="007F32A3">
        <w:rPr>
          <w:rFonts w:ascii="Times New Roman" w:hAnsi="Times New Roman" w:cs="Times New Roman"/>
        </w:rPr>
        <w:t xml:space="preserve"> 2009; Lim </w:t>
      </w:r>
      <w:r w:rsidR="00AE3D06" w:rsidRPr="007F32A3">
        <w:rPr>
          <w:rFonts w:ascii="Times New Roman" w:hAnsi="Times New Roman" w:cs="Times New Roman"/>
        </w:rPr>
        <w:t>and</w:t>
      </w:r>
      <w:r w:rsidR="00AE784D" w:rsidRPr="007F32A3">
        <w:rPr>
          <w:rFonts w:ascii="Times New Roman" w:hAnsi="Times New Roman" w:cs="Times New Roman"/>
        </w:rPr>
        <w:t xml:space="preserve"> </w:t>
      </w:r>
      <w:r w:rsidRPr="007F32A3">
        <w:rPr>
          <w:rFonts w:ascii="Times New Roman" w:hAnsi="Times New Roman" w:cs="Times New Roman"/>
        </w:rPr>
        <w:t>Tan</w:t>
      </w:r>
      <w:r w:rsidR="00AE784D" w:rsidRPr="007F32A3">
        <w:rPr>
          <w:rFonts w:ascii="Times New Roman" w:hAnsi="Times New Roman" w:cs="Times New Roman"/>
        </w:rPr>
        <w:t>,</w:t>
      </w:r>
      <w:r w:rsidRPr="007F32A3">
        <w:rPr>
          <w:rFonts w:ascii="Times New Roman" w:hAnsi="Times New Roman" w:cs="Times New Roman"/>
        </w:rPr>
        <w:t xml:space="preserve"> 2008; Payne</w:t>
      </w:r>
      <w:r w:rsidR="00AE784D" w:rsidRPr="007F32A3">
        <w:rPr>
          <w:rFonts w:ascii="Times New Roman" w:hAnsi="Times New Roman" w:cs="Times New Roman"/>
        </w:rPr>
        <w:t>,</w:t>
      </w:r>
      <w:r w:rsidRPr="007F32A3">
        <w:rPr>
          <w:rFonts w:ascii="Times New Roman" w:hAnsi="Times New Roman" w:cs="Times New Roman"/>
        </w:rPr>
        <w:t xml:space="preserve"> 2008; Romanus et al.</w:t>
      </w:r>
      <w:r w:rsidR="00AE784D" w:rsidRPr="007F32A3">
        <w:rPr>
          <w:rFonts w:ascii="Times New Roman" w:hAnsi="Times New Roman" w:cs="Times New Roman"/>
        </w:rPr>
        <w:t>,</w:t>
      </w:r>
      <w:r w:rsidRPr="007F32A3">
        <w:rPr>
          <w:rFonts w:ascii="Times New Roman" w:hAnsi="Times New Roman" w:cs="Times New Roman"/>
        </w:rPr>
        <w:t xml:space="preserve"> 2008; </w:t>
      </w:r>
      <w:r w:rsidR="006D0432" w:rsidRPr="007F32A3">
        <w:rPr>
          <w:rFonts w:ascii="Times New Roman" w:hAnsi="Times New Roman" w:cs="Times New Roman"/>
        </w:rPr>
        <w:t xml:space="preserve">Behn, Choi, </w:t>
      </w:r>
      <w:r w:rsidR="00AE3D06" w:rsidRPr="007F32A3">
        <w:rPr>
          <w:rFonts w:ascii="Times New Roman" w:hAnsi="Times New Roman" w:cs="Times New Roman"/>
        </w:rPr>
        <w:t>and</w:t>
      </w:r>
      <w:r w:rsidR="00AE784D" w:rsidRPr="007F32A3">
        <w:rPr>
          <w:rFonts w:ascii="Times New Roman" w:hAnsi="Times New Roman" w:cs="Times New Roman"/>
        </w:rPr>
        <w:t xml:space="preserve"> </w:t>
      </w:r>
      <w:r w:rsidR="006D0432" w:rsidRPr="007F32A3">
        <w:rPr>
          <w:rFonts w:ascii="Times New Roman" w:hAnsi="Times New Roman" w:cs="Times New Roman"/>
        </w:rPr>
        <w:t>Kang</w:t>
      </w:r>
      <w:r w:rsidR="00AE784D" w:rsidRPr="007F32A3">
        <w:rPr>
          <w:rFonts w:ascii="Times New Roman" w:hAnsi="Times New Roman" w:cs="Times New Roman"/>
        </w:rPr>
        <w:t>,</w:t>
      </w:r>
      <w:r w:rsidR="006D0432" w:rsidRPr="007F32A3">
        <w:rPr>
          <w:rFonts w:ascii="Times New Roman" w:hAnsi="Times New Roman" w:cs="Times New Roman"/>
        </w:rPr>
        <w:t xml:space="preserve"> 2008; </w:t>
      </w:r>
      <w:r w:rsidRPr="007F32A3">
        <w:rPr>
          <w:rFonts w:ascii="Times New Roman" w:hAnsi="Times New Roman" w:cs="Times New Roman"/>
        </w:rPr>
        <w:t>Krishnan</w:t>
      </w:r>
      <w:r w:rsidR="00AE784D" w:rsidRPr="007F32A3">
        <w:rPr>
          <w:rFonts w:ascii="Times New Roman" w:hAnsi="Times New Roman" w:cs="Times New Roman"/>
        </w:rPr>
        <w:t>,</w:t>
      </w:r>
      <w:r w:rsidRPr="007F32A3">
        <w:rPr>
          <w:rFonts w:ascii="Times New Roman" w:hAnsi="Times New Roman" w:cs="Times New Roman"/>
        </w:rPr>
        <w:t xml:space="preserve"> 2003; Schauer</w:t>
      </w:r>
      <w:r w:rsidR="00AE784D" w:rsidRPr="007F32A3">
        <w:rPr>
          <w:rFonts w:ascii="Times New Roman" w:hAnsi="Times New Roman" w:cs="Times New Roman"/>
        </w:rPr>
        <w:t>,</w:t>
      </w:r>
      <w:r w:rsidRPr="007F32A3">
        <w:rPr>
          <w:rFonts w:ascii="Times New Roman" w:hAnsi="Times New Roman" w:cs="Times New Roman"/>
        </w:rPr>
        <w:t xml:space="preserve"> 2002). </w:t>
      </w:r>
    </w:p>
    <w:p w:rsidR="00CA3E35" w:rsidRPr="007F32A3" w:rsidRDefault="00CA3E35"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rPr>
      </w:pPr>
      <w:r w:rsidRPr="007F32A3">
        <w:rPr>
          <w:rFonts w:ascii="Times New Roman" w:hAnsi="Times New Roman" w:cs="Times New Roman"/>
        </w:rPr>
        <w:t xml:space="preserve">For disclosure </w:t>
      </w:r>
      <w:r w:rsidR="006D0432" w:rsidRPr="007F32A3">
        <w:rPr>
          <w:rFonts w:ascii="Times New Roman" w:hAnsi="Times New Roman" w:cs="Times New Roman"/>
        </w:rPr>
        <w:t>quality</w:t>
      </w:r>
      <w:r w:rsidRPr="007F32A3">
        <w:rPr>
          <w:rFonts w:ascii="Times New Roman" w:hAnsi="Times New Roman" w:cs="Times New Roman"/>
        </w:rPr>
        <w:t xml:space="preserve">, Rose-Green, Huang, and Lee (2011) examined the association between auditor industry specialization and the disclosure of internal control weaknesses (ICWs) by firms that filed first-time Section 404 reports with the Securities and Exchange Commission (SEC). Using univariate and logistic regression analyses, </w:t>
      </w:r>
      <w:r w:rsidR="00AE784D" w:rsidRPr="007F32A3">
        <w:rPr>
          <w:rFonts w:ascii="Times New Roman" w:hAnsi="Times New Roman" w:cs="Times New Roman"/>
        </w:rPr>
        <w:t xml:space="preserve">the authors </w:t>
      </w:r>
      <w:r w:rsidR="00E70E53" w:rsidRPr="007F32A3">
        <w:rPr>
          <w:rFonts w:ascii="Times New Roman" w:hAnsi="Times New Roman" w:cs="Times New Roman"/>
        </w:rPr>
        <w:t xml:space="preserve">revealed </w:t>
      </w:r>
      <w:r w:rsidRPr="007F32A3">
        <w:rPr>
          <w:rFonts w:ascii="Times New Roman" w:hAnsi="Times New Roman" w:cs="Times New Roman"/>
        </w:rPr>
        <w:t xml:space="preserve">that firms audited by industry specialist auditors are more likely to report ICWs than firms audited by nonspecialist auditors. In addition, </w:t>
      </w:r>
      <w:r w:rsidR="00337F4B" w:rsidRPr="007F32A3">
        <w:rPr>
          <w:rFonts w:ascii="Times New Roman" w:hAnsi="Times New Roman" w:cs="Times New Roman"/>
        </w:rPr>
        <w:t>b</w:t>
      </w:r>
      <w:r w:rsidRPr="007F32A3">
        <w:rPr>
          <w:rFonts w:ascii="Times New Roman" w:hAnsi="Times New Roman" w:cs="Times New Roman"/>
        </w:rPr>
        <w:t xml:space="preserve">y </w:t>
      </w:r>
      <w:r w:rsidR="00AE784D" w:rsidRPr="007F32A3">
        <w:rPr>
          <w:rFonts w:ascii="Times New Roman" w:hAnsi="Times New Roman" w:cs="Times New Roman"/>
        </w:rPr>
        <w:t xml:space="preserve">exploring </w:t>
      </w:r>
      <w:r w:rsidRPr="007F32A3">
        <w:rPr>
          <w:rFonts w:ascii="Times New Roman" w:hAnsi="Times New Roman" w:cs="Times New Roman"/>
        </w:rPr>
        <w:t xml:space="preserve">the association among auditor differentiation, mitigating management actions, and audit-reporting accuracy for distressed firms, Bruynseels, Knechel, and Willekens (2011) </w:t>
      </w:r>
      <w:r w:rsidR="00AE784D" w:rsidRPr="007F32A3">
        <w:rPr>
          <w:rFonts w:ascii="Times New Roman" w:hAnsi="Times New Roman" w:cs="Times New Roman"/>
        </w:rPr>
        <w:t>demonstrate</w:t>
      </w:r>
      <w:r w:rsidR="00E70E53" w:rsidRPr="007F32A3">
        <w:rPr>
          <w:rFonts w:ascii="Times New Roman" w:hAnsi="Times New Roman" w:cs="Times New Roman"/>
        </w:rPr>
        <w:t>d</w:t>
      </w:r>
      <w:r w:rsidR="00AE784D" w:rsidRPr="007F32A3">
        <w:rPr>
          <w:rFonts w:ascii="Times New Roman" w:hAnsi="Times New Roman" w:cs="Times New Roman"/>
        </w:rPr>
        <w:t xml:space="preserve"> </w:t>
      </w:r>
      <w:r w:rsidRPr="007F32A3">
        <w:rPr>
          <w:rFonts w:ascii="Times New Roman" w:hAnsi="Times New Roman" w:cs="Times New Roman"/>
        </w:rPr>
        <w:t>that, compared with nonspecialist</w:t>
      </w:r>
      <w:r w:rsidR="00AE784D" w:rsidRPr="007F32A3">
        <w:rPr>
          <w:rFonts w:ascii="Times New Roman" w:hAnsi="Times New Roman" w:cs="Times New Roman"/>
        </w:rPr>
        <w:t>s</w:t>
      </w:r>
      <w:r w:rsidRPr="007F32A3">
        <w:rPr>
          <w:rFonts w:ascii="Times New Roman" w:hAnsi="Times New Roman" w:cs="Times New Roman"/>
        </w:rPr>
        <w:t>, specialist auditors are more likely to issue a going-concern opinion for soon-to-be bankrupt companies when management undertakes strategic turnaround initiatives.</w:t>
      </w:r>
      <w:r w:rsidR="00337F4B" w:rsidRPr="007F32A3">
        <w:rPr>
          <w:rFonts w:ascii="Times New Roman" w:hAnsi="Times New Roman" w:cs="Times New Roman"/>
        </w:rPr>
        <w:t xml:space="preserve"> For</w:t>
      </w:r>
      <w:r w:rsidRPr="007F32A3">
        <w:rPr>
          <w:rFonts w:ascii="Times New Roman" w:hAnsi="Times New Roman" w:cs="Times New Roman"/>
        </w:rPr>
        <w:t xml:space="preserve"> the effects of industry specialization on audit quality for new clients, Liu, Xie, Chang, and Forgione (2017) </w:t>
      </w:r>
      <w:r w:rsidR="00337F4B" w:rsidRPr="007F32A3">
        <w:rPr>
          <w:rFonts w:ascii="Times New Roman" w:hAnsi="Times New Roman" w:cs="Times New Roman"/>
        </w:rPr>
        <w:t xml:space="preserve">also </w:t>
      </w:r>
      <w:r w:rsidRPr="007F32A3">
        <w:rPr>
          <w:rFonts w:ascii="Times New Roman" w:hAnsi="Times New Roman" w:cs="Times New Roman"/>
        </w:rPr>
        <w:t>addressed that, while there is a decline in audit quality for nonindustry specialists, industry specialists are more likely to maintain audit quality for new clients.</w:t>
      </w:r>
    </w:p>
    <w:p w:rsidR="007B42E8" w:rsidRPr="007F32A3" w:rsidRDefault="00A82898"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b/>
          <w:i/>
        </w:rPr>
      </w:pPr>
      <w:r w:rsidRPr="007F32A3">
        <w:rPr>
          <w:rFonts w:ascii="Times New Roman" w:hAnsi="Times New Roman" w:cs="Times New Roman"/>
        </w:rPr>
        <w:t xml:space="preserve">However, while industry specialist auditors are demonstrated to possess higher audit quality, no evidence associated with the new audit report has been provided to date. </w:t>
      </w:r>
      <w:r w:rsidR="00FC1D07" w:rsidRPr="007F32A3">
        <w:rPr>
          <w:rFonts w:ascii="Times New Roman" w:hAnsi="Times New Roman" w:cs="Times New Roman"/>
        </w:rPr>
        <w:t xml:space="preserve">For the disclosure of </w:t>
      </w:r>
      <w:r w:rsidR="00B21D1D" w:rsidRPr="007F32A3">
        <w:rPr>
          <w:rFonts w:ascii="Times New Roman" w:hAnsi="Times New Roman" w:cs="Times New Roman"/>
        </w:rPr>
        <w:t>KAM</w:t>
      </w:r>
      <w:r w:rsidR="00FC1D07" w:rsidRPr="007F32A3">
        <w:rPr>
          <w:rFonts w:ascii="Times New Roman" w:hAnsi="Times New Roman" w:cs="Times New Roman"/>
        </w:rPr>
        <w:t xml:space="preserve">, to identify </w:t>
      </w:r>
      <w:r w:rsidR="00B21D1D" w:rsidRPr="007F32A3">
        <w:rPr>
          <w:rFonts w:ascii="Times New Roman" w:hAnsi="Times New Roman" w:cs="Times New Roman"/>
        </w:rPr>
        <w:t>KAM</w:t>
      </w:r>
      <w:r w:rsidR="00FC1D07" w:rsidRPr="007F32A3">
        <w:rPr>
          <w:rFonts w:ascii="Times New Roman" w:hAnsi="Times New Roman" w:cs="Times New Roman"/>
        </w:rPr>
        <w:t xml:space="preserve"> that are </w:t>
      </w:r>
      <w:r w:rsidR="008D6688" w:rsidRPr="007F32A3">
        <w:rPr>
          <w:rFonts w:ascii="Times New Roman" w:hAnsi="Times New Roman" w:cs="Times New Roman"/>
        </w:rPr>
        <w:t>substantial</w:t>
      </w:r>
      <w:r w:rsidR="00FC1D07" w:rsidRPr="007F32A3">
        <w:rPr>
          <w:rFonts w:ascii="Times New Roman" w:hAnsi="Times New Roman" w:cs="Times New Roman"/>
        </w:rPr>
        <w:t xml:space="preserve"> </w:t>
      </w:r>
      <w:r w:rsidR="00FD1A85" w:rsidRPr="007F32A3">
        <w:rPr>
          <w:rFonts w:ascii="Times New Roman" w:hAnsi="Times New Roman" w:cs="Times New Roman"/>
        </w:rPr>
        <w:t xml:space="preserve">and are </w:t>
      </w:r>
      <w:r w:rsidR="00FC1D07" w:rsidRPr="007F32A3">
        <w:rPr>
          <w:rFonts w:ascii="Times New Roman" w:hAnsi="Times New Roman" w:cs="Times New Roman"/>
        </w:rPr>
        <w:t xml:space="preserve">involved </w:t>
      </w:r>
      <w:r w:rsidR="00FD1A85" w:rsidRPr="007F32A3">
        <w:rPr>
          <w:rFonts w:ascii="Times New Roman" w:hAnsi="Times New Roman" w:cs="Times New Roman"/>
        </w:rPr>
        <w:t xml:space="preserve">in </w:t>
      </w:r>
      <w:r w:rsidR="00FC1D07" w:rsidRPr="007F32A3">
        <w:rPr>
          <w:rFonts w:ascii="Times New Roman" w:hAnsi="Times New Roman" w:cs="Times New Roman"/>
        </w:rPr>
        <w:t>especially challenging, subjective, or complex auditor judgment</w:t>
      </w:r>
      <w:r w:rsidR="00FD1A85" w:rsidRPr="007F32A3">
        <w:rPr>
          <w:rFonts w:ascii="Times New Roman" w:hAnsi="Times New Roman" w:cs="Times New Roman"/>
        </w:rPr>
        <w:t xml:space="preserve"> </w:t>
      </w:r>
      <w:r w:rsidR="008D6688" w:rsidRPr="007F32A3">
        <w:rPr>
          <w:rFonts w:ascii="Times New Roman" w:hAnsi="Times New Roman" w:cs="Times New Roman"/>
        </w:rPr>
        <w:t>and</w:t>
      </w:r>
      <w:r w:rsidR="00FD1A85" w:rsidRPr="007F32A3">
        <w:rPr>
          <w:rFonts w:ascii="Times New Roman" w:hAnsi="Times New Roman" w:cs="Times New Roman"/>
        </w:rPr>
        <w:t>, further,</w:t>
      </w:r>
      <w:r w:rsidR="008D6688" w:rsidRPr="007F32A3">
        <w:rPr>
          <w:rFonts w:ascii="Times New Roman" w:hAnsi="Times New Roman" w:cs="Times New Roman"/>
        </w:rPr>
        <w:t xml:space="preserve"> </w:t>
      </w:r>
      <w:r w:rsidRPr="007F32A3">
        <w:rPr>
          <w:rFonts w:ascii="Times New Roman" w:hAnsi="Times New Roman" w:cs="Times New Roman"/>
        </w:rPr>
        <w:t>to properly disclose these</w:t>
      </w:r>
      <w:r w:rsidR="008D6688" w:rsidRPr="007F32A3">
        <w:rPr>
          <w:rFonts w:ascii="Times New Roman" w:hAnsi="Times New Roman" w:cs="Times New Roman"/>
        </w:rPr>
        <w:t xml:space="preserve"> matters should depend on both the </w:t>
      </w:r>
      <w:r w:rsidR="008D6688" w:rsidRPr="007F32A3">
        <w:rPr>
          <w:rFonts w:ascii="Times New Roman" w:hAnsi="Times New Roman" w:cs="Times New Roman"/>
        </w:rPr>
        <w:lastRenderedPageBreak/>
        <w:t>competence and the independence of auditors</w:t>
      </w:r>
      <w:r w:rsidR="00E90906" w:rsidRPr="007F32A3">
        <w:rPr>
          <w:rFonts w:ascii="Times New Roman" w:hAnsi="Times New Roman" w:cs="Times New Roman"/>
        </w:rPr>
        <w:t xml:space="preserve"> suggested by DeAngelo (1981)</w:t>
      </w:r>
      <w:r w:rsidR="008D6688" w:rsidRPr="007F32A3">
        <w:rPr>
          <w:rFonts w:ascii="Times New Roman" w:hAnsi="Times New Roman" w:cs="Times New Roman"/>
        </w:rPr>
        <w:t xml:space="preserve">. From the perspective of auditors’ competence of detecting and communicating </w:t>
      </w:r>
      <w:r w:rsidR="00B21D1D" w:rsidRPr="007F32A3">
        <w:rPr>
          <w:rFonts w:ascii="Times New Roman" w:hAnsi="Times New Roman" w:cs="Times New Roman"/>
        </w:rPr>
        <w:t>KAM</w:t>
      </w:r>
      <w:r w:rsidR="008D6688" w:rsidRPr="007F32A3">
        <w:rPr>
          <w:rFonts w:ascii="Times New Roman" w:hAnsi="Times New Roman" w:cs="Times New Roman"/>
        </w:rPr>
        <w:t xml:space="preserve">, the acquisition of client-specific knowledge </w:t>
      </w:r>
      <w:r w:rsidR="00337E4D" w:rsidRPr="007F32A3">
        <w:rPr>
          <w:rFonts w:ascii="Times New Roman" w:hAnsi="Times New Roman" w:cs="Times New Roman"/>
        </w:rPr>
        <w:t xml:space="preserve">of industry specialist auditors </w:t>
      </w:r>
      <w:r w:rsidR="008D6688" w:rsidRPr="007F32A3">
        <w:rPr>
          <w:rFonts w:ascii="Times New Roman" w:hAnsi="Times New Roman" w:cs="Times New Roman"/>
        </w:rPr>
        <w:t xml:space="preserve">can result in higher audit quality (Geiger </w:t>
      </w:r>
      <w:r w:rsidR="00AE3D06" w:rsidRPr="007F32A3">
        <w:rPr>
          <w:rFonts w:ascii="Times New Roman" w:hAnsi="Times New Roman" w:cs="Times New Roman"/>
        </w:rPr>
        <w:t>and</w:t>
      </w:r>
      <w:r w:rsidR="00FD1A85" w:rsidRPr="007F32A3">
        <w:rPr>
          <w:rFonts w:ascii="Times New Roman" w:hAnsi="Times New Roman" w:cs="Times New Roman"/>
        </w:rPr>
        <w:t xml:space="preserve"> </w:t>
      </w:r>
      <w:r w:rsidR="008D6688" w:rsidRPr="007F32A3">
        <w:rPr>
          <w:rFonts w:ascii="Times New Roman" w:hAnsi="Times New Roman" w:cs="Times New Roman"/>
        </w:rPr>
        <w:t>Raghunandan</w:t>
      </w:r>
      <w:r w:rsidR="00FD1A85" w:rsidRPr="007F32A3">
        <w:rPr>
          <w:rFonts w:ascii="Times New Roman" w:hAnsi="Times New Roman" w:cs="Times New Roman"/>
        </w:rPr>
        <w:t>,</w:t>
      </w:r>
      <w:r w:rsidR="008D6688" w:rsidRPr="007F32A3">
        <w:rPr>
          <w:rFonts w:ascii="Times New Roman" w:hAnsi="Times New Roman" w:cs="Times New Roman"/>
        </w:rPr>
        <w:t xml:space="preserve"> 2002; Johnson et al., 2002</w:t>
      </w:r>
      <w:r w:rsidR="00FD1A85" w:rsidRPr="007F32A3">
        <w:rPr>
          <w:rFonts w:ascii="Times New Roman" w:hAnsi="Times New Roman" w:cs="Times New Roman"/>
        </w:rPr>
        <w:t>;</w:t>
      </w:r>
      <w:r w:rsidR="008D6688" w:rsidRPr="007F32A3">
        <w:rPr>
          <w:rFonts w:ascii="Times New Roman" w:hAnsi="Times New Roman" w:cs="Times New Roman"/>
        </w:rPr>
        <w:t xml:space="preserve"> Myers et al.</w:t>
      </w:r>
      <w:r w:rsidR="00FD1A85" w:rsidRPr="007F32A3">
        <w:rPr>
          <w:rFonts w:ascii="Times New Roman" w:hAnsi="Times New Roman" w:cs="Times New Roman"/>
        </w:rPr>
        <w:t>,</w:t>
      </w:r>
      <w:r w:rsidR="008D6688" w:rsidRPr="007F32A3">
        <w:rPr>
          <w:rFonts w:ascii="Times New Roman" w:hAnsi="Times New Roman" w:cs="Times New Roman"/>
        </w:rPr>
        <w:t xml:space="preserve"> 2003; Mansi, Maxwell, </w:t>
      </w:r>
      <w:r w:rsidR="00AE3D06" w:rsidRPr="007F32A3">
        <w:rPr>
          <w:rFonts w:ascii="Times New Roman" w:hAnsi="Times New Roman" w:cs="Times New Roman"/>
        </w:rPr>
        <w:t>and</w:t>
      </w:r>
      <w:r w:rsidR="00FD1A85" w:rsidRPr="007F32A3">
        <w:rPr>
          <w:rFonts w:ascii="Times New Roman" w:hAnsi="Times New Roman" w:cs="Times New Roman"/>
        </w:rPr>
        <w:t xml:space="preserve"> </w:t>
      </w:r>
      <w:r w:rsidR="008D6688" w:rsidRPr="007F32A3">
        <w:rPr>
          <w:rFonts w:ascii="Times New Roman" w:hAnsi="Times New Roman" w:cs="Times New Roman"/>
        </w:rPr>
        <w:t>Miller</w:t>
      </w:r>
      <w:r w:rsidR="00FD1A85" w:rsidRPr="007F32A3">
        <w:rPr>
          <w:rFonts w:ascii="Times New Roman" w:hAnsi="Times New Roman" w:cs="Times New Roman"/>
        </w:rPr>
        <w:t>,</w:t>
      </w:r>
      <w:r w:rsidR="008D6688" w:rsidRPr="007F32A3">
        <w:rPr>
          <w:rFonts w:ascii="Times New Roman" w:hAnsi="Times New Roman" w:cs="Times New Roman"/>
        </w:rPr>
        <w:t xml:space="preserve"> 2004; Ghosh </w:t>
      </w:r>
      <w:r w:rsidR="00AE3D06" w:rsidRPr="007F32A3">
        <w:rPr>
          <w:rFonts w:ascii="Times New Roman" w:hAnsi="Times New Roman" w:cs="Times New Roman"/>
        </w:rPr>
        <w:t>and</w:t>
      </w:r>
      <w:r w:rsidR="00FD1A85" w:rsidRPr="007F32A3">
        <w:rPr>
          <w:rFonts w:ascii="Times New Roman" w:hAnsi="Times New Roman" w:cs="Times New Roman"/>
        </w:rPr>
        <w:t xml:space="preserve"> </w:t>
      </w:r>
      <w:r w:rsidR="008D6688" w:rsidRPr="007F32A3">
        <w:rPr>
          <w:rFonts w:ascii="Times New Roman" w:hAnsi="Times New Roman" w:cs="Times New Roman"/>
        </w:rPr>
        <w:t>Moon</w:t>
      </w:r>
      <w:r w:rsidR="00FD1A85" w:rsidRPr="007F32A3">
        <w:rPr>
          <w:rFonts w:ascii="Times New Roman" w:hAnsi="Times New Roman" w:cs="Times New Roman"/>
        </w:rPr>
        <w:t>,</w:t>
      </w:r>
      <w:r w:rsidR="008D6688" w:rsidRPr="007F32A3">
        <w:rPr>
          <w:rFonts w:ascii="Times New Roman" w:hAnsi="Times New Roman" w:cs="Times New Roman"/>
        </w:rPr>
        <w:t xml:space="preserve"> 2005), and from the perspective of auditors’ independence, </w:t>
      </w:r>
      <w:r w:rsidR="00570FD0" w:rsidRPr="007F32A3">
        <w:rPr>
          <w:rFonts w:ascii="Times New Roman" w:hAnsi="Times New Roman" w:cs="Times New Roman"/>
        </w:rPr>
        <w:t xml:space="preserve">higher reputation cost of industry specialist auditor may embolden them to frankly and exclusively describe the </w:t>
      </w:r>
      <w:r w:rsidR="00B21D1D" w:rsidRPr="007F32A3">
        <w:rPr>
          <w:rFonts w:ascii="Times New Roman" w:hAnsi="Times New Roman" w:cs="Times New Roman"/>
        </w:rPr>
        <w:t>KAM</w:t>
      </w:r>
      <w:r w:rsidR="00570FD0" w:rsidRPr="007F32A3">
        <w:rPr>
          <w:rFonts w:ascii="Times New Roman" w:hAnsi="Times New Roman" w:cs="Times New Roman"/>
        </w:rPr>
        <w:t xml:space="preserve"> they would like to communicate with financial statement users. </w:t>
      </w:r>
    </w:p>
    <w:p w:rsidR="00A369B6" w:rsidRPr="007F32A3" w:rsidRDefault="00FD5589" w:rsidP="0061290E">
      <w:pPr>
        <w:autoSpaceDE w:val="0"/>
        <w:autoSpaceDN w:val="0"/>
        <w:adjustRightInd w:val="0"/>
        <w:snapToGrid w:val="0"/>
        <w:spacing w:beforeLines="50" w:before="180" w:afterLines="50" w:after="180" w:line="480" w:lineRule="auto"/>
        <w:jc w:val="both"/>
        <w:rPr>
          <w:rStyle w:val="ab"/>
          <w:rFonts w:ascii="Times New Roman" w:hAnsi="Times New Roman" w:cs="Times New Roman"/>
          <w:b w:val="0"/>
          <w:bCs w:val="0"/>
          <w:i/>
        </w:rPr>
      </w:pPr>
      <w:r w:rsidRPr="007F32A3">
        <w:rPr>
          <w:rFonts w:ascii="Times New Roman" w:hAnsi="Times New Roman" w:cs="Times New Roman"/>
          <w:b/>
          <w:i/>
        </w:rPr>
        <w:t>Content quality of KAM disclosure</w:t>
      </w:r>
    </w:p>
    <w:p w:rsidR="00C75F20" w:rsidRPr="007F32A3" w:rsidRDefault="00FD1A85" w:rsidP="0061290E">
      <w:pPr>
        <w:pStyle w:val="Default"/>
        <w:snapToGrid w:val="0"/>
        <w:spacing w:beforeLines="50" w:before="180" w:afterLines="50" w:after="180" w:line="480" w:lineRule="auto"/>
        <w:ind w:firstLineChars="200" w:firstLine="480"/>
        <w:jc w:val="both"/>
        <w:rPr>
          <w:color w:val="auto"/>
        </w:rPr>
      </w:pPr>
      <w:r w:rsidRPr="007F32A3">
        <w:rPr>
          <w:color w:val="auto"/>
        </w:rPr>
        <w:t xml:space="preserve">Similar to </w:t>
      </w:r>
      <w:r w:rsidR="009E7E32" w:rsidRPr="007F32A3">
        <w:rPr>
          <w:color w:val="auto"/>
        </w:rPr>
        <w:t>t</w:t>
      </w:r>
      <w:r w:rsidR="00DF7F04" w:rsidRPr="007F32A3">
        <w:rPr>
          <w:color w:val="auto"/>
        </w:rPr>
        <w:t>he FRC</w:t>
      </w:r>
      <w:r w:rsidR="009E7E32" w:rsidRPr="007F32A3">
        <w:rPr>
          <w:color w:val="auto"/>
        </w:rPr>
        <w:t>,</w:t>
      </w:r>
      <w:r w:rsidR="00DF7F04" w:rsidRPr="007F32A3">
        <w:rPr>
          <w:color w:val="auto"/>
        </w:rPr>
        <w:t xml:space="preserve"> </w:t>
      </w:r>
      <w:r w:rsidR="009E7E32" w:rsidRPr="007F32A3">
        <w:rPr>
          <w:color w:val="auto"/>
        </w:rPr>
        <w:t xml:space="preserve">to prevent auditors from issuing identical audit reports according to reference examples, the Taiwan ARDF </w:t>
      </w:r>
      <w:r w:rsidR="00DF7F04" w:rsidRPr="007F32A3">
        <w:rPr>
          <w:color w:val="auto"/>
        </w:rPr>
        <w:t xml:space="preserve">does not provide </w:t>
      </w:r>
      <w:r w:rsidR="002F47A2" w:rsidRPr="007F32A3">
        <w:rPr>
          <w:color w:val="auto"/>
        </w:rPr>
        <w:t>the</w:t>
      </w:r>
      <w:r w:rsidR="00DF7F04" w:rsidRPr="007F32A3">
        <w:rPr>
          <w:color w:val="auto"/>
        </w:rPr>
        <w:t xml:space="preserve"> </w:t>
      </w:r>
      <w:r w:rsidR="005A1179" w:rsidRPr="007F32A3">
        <w:rPr>
          <w:color w:val="auto"/>
        </w:rPr>
        <w:t>model</w:t>
      </w:r>
      <w:r w:rsidR="00DF7F04" w:rsidRPr="007F32A3">
        <w:rPr>
          <w:color w:val="auto"/>
        </w:rPr>
        <w:t xml:space="preserve"> or format for </w:t>
      </w:r>
      <w:r w:rsidR="00B21D1D" w:rsidRPr="007F32A3">
        <w:rPr>
          <w:color w:val="auto"/>
        </w:rPr>
        <w:t>KAM</w:t>
      </w:r>
      <w:r w:rsidR="009E7E32" w:rsidRPr="007F32A3">
        <w:rPr>
          <w:color w:val="auto"/>
        </w:rPr>
        <w:t xml:space="preserve"> disclosure of new</w:t>
      </w:r>
      <w:r w:rsidR="00DF7F04" w:rsidRPr="007F32A3">
        <w:rPr>
          <w:color w:val="auto"/>
        </w:rPr>
        <w:t xml:space="preserve"> audit report</w:t>
      </w:r>
      <w:r w:rsidRPr="007F32A3">
        <w:rPr>
          <w:color w:val="auto"/>
        </w:rPr>
        <w:t>s</w:t>
      </w:r>
      <w:r w:rsidR="00854C32" w:rsidRPr="007F32A3">
        <w:rPr>
          <w:color w:val="auto"/>
        </w:rPr>
        <w:t>.</w:t>
      </w:r>
      <w:r w:rsidR="005A1179" w:rsidRPr="007F32A3">
        <w:rPr>
          <w:color w:val="auto"/>
        </w:rPr>
        <w:t xml:space="preserve"> </w:t>
      </w:r>
      <w:r w:rsidR="00854C32" w:rsidRPr="007F32A3">
        <w:rPr>
          <w:color w:val="auto"/>
        </w:rPr>
        <w:t xml:space="preserve">While </w:t>
      </w:r>
      <w:r w:rsidR="00532FAB" w:rsidRPr="007F32A3">
        <w:rPr>
          <w:color w:val="auto"/>
        </w:rPr>
        <w:t>this decision is in accordance with</w:t>
      </w:r>
      <w:r w:rsidR="005A1179" w:rsidRPr="007F32A3">
        <w:rPr>
          <w:color w:val="auto"/>
        </w:rPr>
        <w:t xml:space="preserve"> </w:t>
      </w:r>
      <w:r w:rsidR="002F47A2" w:rsidRPr="007F32A3">
        <w:rPr>
          <w:color w:val="auto"/>
        </w:rPr>
        <w:t>the</w:t>
      </w:r>
      <w:r w:rsidR="005A1179" w:rsidRPr="007F32A3">
        <w:rPr>
          <w:color w:val="auto"/>
        </w:rPr>
        <w:t xml:space="preserve"> objective of new auditing standard</w:t>
      </w:r>
      <w:r w:rsidRPr="007F32A3">
        <w:rPr>
          <w:color w:val="auto"/>
        </w:rPr>
        <w:t>s</w:t>
      </w:r>
      <w:r w:rsidR="00532FAB" w:rsidRPr="007F32A3">
        <w:rPr>
          <w:color w:val="auto"/>
        </w:rPr>
        <w:t>,</w:t>
      </w:r>
      <w:r w:rsidR="005A1179" w:rsidRPr="007F32A3">
        <w:rPr>
          <w:color w:val="auto"/>
        </w:rPr>
        <w:t xml:space="preserve"> to provide more </w:t>
      </w:r>
      <w:r w:rsidRPr="007F32A3">
        <w:rPr>
          <w:color w:val="auto"/>
        </w:rPr>
        <w:t>client-</w:t>
      </w:r>
      <w:r w:rsidR="005A1179" w:rsidRPr="007F32A3">
        <w:rPr>
          <w:color w:val="auto"/>
        </w:rPr>
        <w:t>specific information in the “entity specific audit report</w:t>
      </w:r>
      <w:r w:rsidRPr="007F32A3">
        <w:rPr>
          <w:color w:val="auto"/>
        </w:rPr>
        <w:t xml:space="preserve">,” </w:t>
      </w:r>
      <w:r w:rsidR="00532FAB" w:rsidRPr="007F32A3">
        <w:rPr>
          <w:color w:val="auto"/>
        </w:rPr>
        <w:t xml:space="preserve">it also </w:t>
      </w:r>
      <w:r w:rsidR="005A1179" w:rsidRPr="007F32A3">
        <w:rPr>
          <w:color w:val="auto"/>
        </w:rPr>
        <w:t>exposes auditors to the wide variety of KAM disclosures.</w:t>
      </w:r>
      <w:r w:rsidR="00532FAB" w:rsidRPr="007F32A3">
        <w:rPr>
          <w:color w:val="auto"/>
        </w:rPr>
        <w:t xml:space="preserve"> </w:t>
      </w:r>
      <w:r w:rsidR="00C75F20" w:rsidRPr="007F32A3">
        <w:rPr>
          <w:color w:val="auto"/>
        </w:rPr>
        <w:t>By examining</w:t>
      </w:r>
      <w:r w:rsidR="003827C2" w:rsidRPr="007F32A3">
        <w:rPr>
          <w:color w:val="auto"/>
        </w:rPr>
        <w:t xml:space="preserve"> the </w:t>
      </w:r>
      <w:r w:rsidR="00C75F20" w:rsidRPr="007F32A3">
        <w:rPr>
          <w:color w:val="auto"/>
        </w:rPr>
        <w:t xml:space="preserve">content </w:t>
      </w:r>
      <w:r w:rsidR="003827C2" w:rsidRPr="007F32A3">
        <w:rPr>
          <w:color w:val="auto"/>
        </w:rPr>
        <w:t xml:space="preserve">of </w:t>
      </w:r>
      <w:r w:rsidR="00B21D1D" w:rsidRPr="007F32A3">
        <w:rPr>
          <w:color w:val="auto"/>
        </w:rPr>
        <w:t>KAM</w:t>
      </w:r>
      <w:r w:rsidR="00C75F20" w:rsidRPr="007F32A3">
        <w:rPr>
          <w:color w:val="auto"/>
        </w:rPr>
        <w:t xml:space="preserve"> disclosed </w:t>
      </w:r>
      <w:r w:rsidR="003827C2" w:rsidRPr="007F32A3">
        <w:rPr>
          <w:color w:val="auto"/>
        </w:rPr>
        <w:t xml:space="preserve">in </w:t>
      </w:r>
      <w:r w:rsidR="00C75F20" w:rsidRPr="007F32A3">
        <w:rPr>
          <w:color w:val="auto"/>
        </w:rPr>
        <w:t>audit</w:t>
      </w:r>
      <w:r w:rsidR="003827C2" w:rsidRPr="007F32A3">
        <w:rPr>
          <w:color w:val="auto"/>
        </w:rPr>
        <w:t xml:space="preserve"> report</w:t>
      </w:r>
      <w:r w:rsidR="00C75F20" w:rsidRPr="007F32A3">
        <w:rPr>
          <w:color w:val="auto"/>
        </w:rPr>
        <w:t>s</w:t>
      </w:r>
      <w:r w:rsidR="003827C2" w:rsidRPr="007F32A3">
        <w:rPr>
          <w:color w:val="auto"/>
        </w:rPr>
        <w:t xml:space="preserve"> </w:t>
      </w:r>
      <w:r w:rsidR="00C75F20" w:rsidRPr="007F32A3">
        <w:rPr>
          <w:color w:val="auto"/>
        </w:rPr>
        <w:t xml:space="preserve">for Taiwan listed companies in 2016, </w:t>
      </w:r>
      <w:r w:rsidR="003827C2" w:rsidRPr="007F32A3">
        <w:rPr>
          <w:color w:val="auto"/>
        </w:rPr>
        <w:t>the first year</w:t>
      </w:r>
      <w:r w:rsidR="00C75F20" w:rsidRPr="007F32A3">
        <w:rPr>
          <w:color w:val="auto"/>
        </w:rPr>
        <w:t xml:space="preserve"> that required </w:t>
      </w:r>
      <w:r w:rsidR="00FB1B3B" w:rsidRPr="007F32A3">
        <w:rPr>
          <w:color w:val="auto"/>
        </w:rPr>
        <w:t xml:space="preserve">a </w:t>
      </w:r>
      <w:r w:rsidR="00C75F20" w:rsidRPr="007F32A3">
        <w:rPr>
          <w:color w:val="auto"/>
        </w:rPr>
        <w:t xml:space="preserve">new type of audit report, Chen (2017) addressed that a number of KAM disclosures </w:t>
      </w:r>
      <w:r w:rsidRPr="007F32A3">
        <w:rPr>
          <w:color w:val="auto"/>
        </w:rPr>
        <w:t xml:space="preserve">demonstrate </w:t>
      </w:r>
      <w:r w:rsidR="00C75F20" w:rsidRPr="007F32A3">
        <w:rPr>
          <w:color w:val="auto"/>
        </w:rPr>
        <w:t xml:space="preserve">presentation or substantial </w:t>
      </w:r>
      <w:r w:rsidR="00B21D1D" w:rsidRPr="007F32A3">
        <w:rPr>
          <w:color w:val="auto"/>
        </w:rPr>
        <w:t>deficiencies</w:t>
      </w:r>
      <w:r w:rsidR="00C75F20" w:rsidRPr="007F32A3">
        <w:rPr>
          <w:color w:val="auto"/>
        </w:rPr>
        <w:t xml:space="preserve">, which may cause </w:t>
      </w:r>
      <w:r w:rsidR="00420586" w:rsidRPr="007F32A3">
        <w:rPr>
          <w:color w:val="auto"/>
        </w:rPr>
        <w:t xml:space="preserve">financial statement </w:t>
      </w:r>
      <w:r w:rsidR="00C75F20" w:rsidRPr="007F32A3">
        <w:rPr>
          <w:color w:val="auto"/>
        </w:rPr>
        <w:t xml:space="preserve">users to have difficulty </w:t>
      </w:r>
      <w:r w:rsidR="00420586" w:rsidRPr="007F32A3">
        <w:rPr>
          <w:color w:val="auto"/>
        </w:rPr>
        <w:t xml:space="preserve">to read or </w:t>
      </w:r>
      <w:r w:rsidRPr="007F32A3">
        <w:rPr>
          <w:color w:val="auto"/>
        </w:rPr>
        <w:t xml:space="preserve">to </w:t>
      </w:r>
      <w:r w:rsidR="00420586" w:rsidRPr="007F32A3">
        <w:rPr>
          <w:color w:val="auto"/>
        </w:rPr>
        <w:t>understand</w:t>
      </w:r>
      <w:r w:rsidR="00C75F20" w:rsidRPr="007F32A3">
        <w:rPr>
          <w:color w:val="auto"/>
        </w:rPr>
        <w:t xml:space="preserve"> </w:t>
      </w:r>
      <w:r w:rsidRPr="007F32A3">
        <w:rPr>
          <w:color w:val="auto"/>
        </w:rPr>
        <w:t xml:space="preserve">KAM </w:t>
      </w:r>
      <w:r w:rsidR="00C75F20" w:rsidRPr="007F32A3">
        <w:rPr>
          <w:color w:val="auto"/>
        </w:rPr>
        <w:t>information.</w:t>
      </w:r>
      <w:r w:rsidR="002F47A2" w:rsidRPr="007F32A3">
        <w:rPr>
          <w:color w:val="auto"/>
        </w:rPr>
        <w:t xml:space="preserve"> </w:t>
      </w:r>
    </w:p>
    <w:p w:rsidR="00C621A4" w:rsidRPr="007F32A3" w:rsidRDefault="00233B59" w:rsidP="0061290E">
      <w:pPr>
        <w:pStyle w:val="Default"/>
        <w:snapToGrid w:val="0"/>
        <w:spacing w:beforeLines="50" w:before="180" w:afterLines="50" w:after="180" w:line="480" w:lineRule="auto"/>
        <w:ind w:firstLineChars="200" w:firstLine="480"/>
        <w:jc w:val="both"/>
        <w:rPr>
          <w:color w:val="auto"/>
        </w:rPr>
      </w:pPr>
      <w:r w:rsidRPr="007F32A3">
        <w:rPr>
          <w:color w:val="auto"/>
        </w:rPr>
        <w:t xml:space="preserve">The possible reasons for the </w:t>
      </w:r>
      <w:r w:rsidR="00B54939" w:rsidRPr="007F32A3">
        <w:rPr>
          <w:color w:val="auto"/>
        </w:rPr>
        <w:t>deficiencies of KAM disclosures</w:t>
      </w:r>
      <w:r w:rsidRPr="007F32A3">
        <w:rPr>
          <w:color w:val="auto"/>
        </w:rPr>
        <w:t xml:space="preserve"> can be divided into two aspects. </w:t>
      </w:r>
      <w:r w:rsidR="00F63568" w:rsidRPr="007F32A3">
        <w:rPr>
          <w:color w:val="auto"/>
        </w:rPr>
        <w:t>One of them</w:t>
      </w:r>
      <w:r w:rsidRPr="007F32A3">
        <w:rPr>
          <w:color w:val="auto"/>
        </w:rPr>
        <w:t xml:space="preserve"> is that</w:t>
      </w:r>
      <w:r w:rsidR="00FD1A85" w:rsidRPr="007F32A3">
        <w:rPr>
          <w:color w:val="auto"/>
        </w:rPr>
        <w:t>,</w:t>
      </w:r>
      <w:r w:rsidRPr="007F32A3">
        <w:rPr>
          <w:color w:val="auto"/>
        </w:rPr>
        <w:t xml:space="preserve"> </w:t>
      </w:r>
      <w:r w:rsidR="00FD1A85" w:rsidRPr="007F32A3">
        <w:rPr>
          <w:color w:val="auto"/>
        </w:rPr>
        <w:t xml:space="preserve">because </w:t>
      </w:r>
      <w:r w:rsidR="00B54939" w:rsidRPr="007F32A3">
        <w:rPr>
          <w:color w:val="auto"/>
        </w:rPr>
        <w:t xml:space="preserve">it is the first year </w:t>
      </w:r>
      <w:r w:rsidR="00F63568" w:rsidRPr="007F32A3">
        <w:rPr>
          <w:color w:val="auto"/>
        </w:rPr>
        <w:t xml:space="preserve">(and the first time) that </w:t>
      </w:r>
      <w:r w:rsidR="00B54939" w:rsidRPr="007F32A3">
        <w:rPr>
          <w:color w:val="auto"/>
        </w:rPr>
        <w:t xml:space="preserve">the </w:t>
      </w:r>
      <w:r w:rsidR="00F63568" w:rsidRPr="007F32A3">
        <w:rPr>
          <w:color w:val="auto"/>
        </w:rPr>
        <w:t xml:space="preserve">new type </w:t>
      </w:r>
      <w:r w:rsidR="00FB1B3B" w:rsidRPr="007F32A3">
        <w:rPr>
          <w:color w:val="auto"/>
        </w:rPr>
        <w:t xml:space="preserve">of </w:t>
      </w:r>
      <w:r w:rsidR="00F63568" w:rsidRPr="007F32A3">
        <w:rPr>
          <w:color w:val="auto"/>
        </w:rPr>
        <w:t xml:space="preserve">audit report </w:t>
      </w:r>
      <w:r w:rsidR="00FD1A85" w:rsidRPr="007F32A3">
        <w:rPr>
          <w:color w:val="auto"/>
        </w:rPr>
        <w:t xml:space="preserve">has been </w:t>
      </w:r>
      <w:r w:rsidR="00B54939" w:rsidRPr="007F32A3">
        <w:rPr>
          <w:color w:val="auto"/>
        </w:rPr>
        <w:t>implement</w:t>
      </w:r>
      <w:r w:rsidR="00F63568" w:rsidRPr="007F32A3">
        <w:rPr>
          <w:color w:val="auto"/>
        </w:rPr>
        <w:t>ed</w:t>
      </w:r>
      <w:r w:rsidR="00B54939" w:rsidRPr="007F32A3">
        <w:rPr>
          <w:color w:val="auto"/>
        </w:rPr>
        <w:t>, auditors with insufficient experience or without powerful knowledge and intellectual integration</w:t>
      </w:r>
      <w:r w:rsidR="00FB1B3B" w:rsidRPr="007F32A3">
        <w:rPr>
          <w:color w:val="auto"/>
        </w:rPr>
        <w:t xml:space="preserve"> </w:t>
      </w:r>
      <w:r w:rsidR="00B54939" w:rsidRPr="007F32A3">
        <w:rPr>
          <w:color w:val="auto"/>
        </w:rPr>
        <w:t xml:space="preserve">supporting </w:t>
      </w:r>
      <w:r w:rsidR="00FB1B3B" w:rsidRPr="007F32A3">
        <w:rPr>
          <w:color w:val="auto"/>
        </w:rPr>
        <w:t xml:space="preserve">a </w:t>
      </w:r>
      <w:r w:rsidR="00B54939" w:rsidRPr="007F32A3">
        <w:rPr>
          <w:color w:val="auto"/>
        </w:rPr>
        <w:t>team may not be able to fully and accurately state the</w:t>
      </w:r>
      <w:r w:rsidR="00F63568" w:rsidRPr="007F32A3">
        <w:rPr>
          <w:color w:val="auto"/>
        </w:rPr>
        <w:t xml:space="preserve"> KAM</w:t>
      </w:r>
      <w:r w:rsidR="00B54939" w:rsidRPr="007F32A3">
        <w:rPr>
          <w:color w:val="auto"/>
        </w:rPr>
        <w:t xml:space="preserve"> </w:t>
      </w:r>
      <w:r w:rsidR="00F63568" w:rsidRPr="007F32A3">
        <w:rPr>
          <w:color w:val="auto"/>
        </w:rPr>
        <w:t>they found</w:t>
      </w:r>
      <w:r w:rsidR="00B54939" w:rsidRPr="007F32A3">
        <w:rPr>
          <w:color w:val="auto"/>
        </w:rPr>
        <w:t xml:space="preserve"> in the </w:t>
      </w:r>
      <w:r w:rsidR="00F63568" w:rsidRPr="007F32A3">
        <w:rPr>
          <w:color w:val="auto"/>
        </w:rPr>
        <w:t>audit</w:t>
      </w:r>
      <w:r w:rsidR="00B54939" w:rsidRPr="007F32A3">
        <w:rPr>
          <w:color w:val="auto"/>
        </w:rPr>
        <w:t xml:space="preserve"> report </w:t>
      </w:r>
      <w:r w:rsidR="00FB1B3B" w:rsidRPr="007F32A3">
        <w:rPr>
          <w:color w:val="auto"/>
        </w:rPr>
        <w:t>due to</w:t>
      </w:r>
      <w:r w:rsidR="00B54939" w:rsidRPr="007F32A3">
        <w:rPr>
          <w:color w:val="auto"/>
        </w:rPr>
        <w:t xml:space="preserve"> capacity limitations</w:t>
      </w:r>
      <w:r w:rsidR="00FB1B3B" w:rsidRPr="007F32A3">
        <w:rPr>
          <w:color w:val="auto"/>
        </w:rPr>
        <w:t>, i.e., the</w:t>
      </w:r>
      <w:r w:rsidR="00B54939" w:rsidRPr="007F32A3">
        <w:rPr>
          <w:color w:val="auto"/>
        </w:rPr>
        <w:t xml:space="preserve"> key check items and the corresponding check procedures.</w:t>
      </w:r>
      <w:r w:rsidR="00F63568" w:rsidRPr="007F32A3">
        <w:rPr>
          <w:color w:val="auto"/>
        </w:rPr>
        <w:t xml:space="preserve"> Another is that</w:t>
      </w:r>
      <w:r w:rsidR="00FD1A85" w:rsidRPr="007F32A3">
        <w:rPr>
          <w:color w:val="auto"/>
        </w:rPr>
        <w:t xml:space="preserve"> </w:t>
      </w:r>
      <w:r w:rsidR="00F63568" w:rsidRPr="007F32A3">
        <w:rPr>
          <w:color w:val="auto"/>
        </w:rPr>
        <w:t>auditors have enough experience and knowledge to fully and accurately disclose or communicate the KAM in the audit report, but</w:t>
      </w:r>
      <w:r w:rsidR="00FD1A85" w:rsidRPr="007F32A3">
        <w:rPr>
          <w:color w:val="auto"/>
        </w:rPr>
        <w:t>,</w:t>
      </w:r>
      <w:r w:rsidR="00F63568" w:rsidRPr="007F32A3">
        <w:rPr>
          <w:color w:val="auto"/>
        </w:rPr>
        <w:t xml:space="preserve"> for strategic purposes, they choose to more indistinctly discuss the KAM they found in the check report.</w:t>
      </w:r>
      <w:r w:rsidR="00253CD9" w:rsidRPr="007F32A3">
        <w:rPr>
          <w:color w:val="auto"/>
        </w:rPr>
        <w:t xml:space="preserve"> From the viewpoint of </w:t>
      </w:r>
      <w:r w:rsidR="00253CD9" w:rsidRPr="007F32A3">
        <w:rPr>
          <w:color w:val="auto"/>
        </w:rPr>
        <w:lastRenderedPageBreak/>
        <w:t>auditor competence and independence, industry specialist auditors who possess more industry</w:t>
      </w:r>
      <w:r w:rsidR="00FD1A85" w:rsidRPr="007F32A3">
        <w:rPr>
          <w:color w:val="auto"/>
        </w:rPr>
        <w:t>-</w:t>
      </w:r>
      <w:r w:rsidR="00253CD9" w:rsidRPr="007F32A3">
        <w:rPr>
          <w:color w:val="auto"/>
        </w:rPr>
        <w:t xml:space="preserve"> and </w:t>
      </w:r>
      <w:r w:rsidR="00FD1A85" w:rsidRPr="007F32A3">
        <w:rPr>
          <w:color w:val="auto"/>
        </w:rPr>
        <w:t>client-</w:t>
      </w:r>
      <w:r w:rsidR="00253CD9" w:rsidRPr="007F32A3">
        <w:rPr>
          <w:color w:val="auto"/>
        </w:rPr>
        <w:t>specific auditing experience and have higher reputation cost should be more likely to integrally describe and discuss the KAM they found in their audit report</w:t>
      </w:r>
      <w:r w:rsidR="00FB1B3B" w:rsidRPr="007F32A3">
        <w:rPr>
          <w:color w:val="auto"/>
        </w:rPr>
        <w:t>s</w:t>
      </w:r>
      <w:r w:rsidR="00253CD9" w:rsidRPr="007F32A3">
        <w:rPr>
          <w:color w:val="auto"/>
        </w:rPr>
        <w:t>. Accordingly, this study consider</w:t>
      </w:r>
      <w:r w:rsidR="00FD1A85" w:rsidRPr="007F32A3">
        <w:rPr>
          <w:color w:val="auto"/>
        </w:rPr>
        <w:t>s</w:t>
      </w:r>
      <w:r w:rsidR="00253CD9" w:rsidRPr="007F32A3">
        <w:rPr>
          <w:color w:val="auto"/>
        </w:rPr>
        <w:t xml:space="preserve"> that KAM disclosed in audit report</w:t>
      </w:r>
      <w:r w:rsidR="00FB1B3B" w:rsidRPr="007F32A3">
        <w:rPr>
          <w:color w:val="auto"/>
        </w:rPr>
        <w:t>s</w:t>
      </w:r>
      <w:r w:rsidR="00253CD9" w:rsidRPr="007F32A3">
        <w:rPr>
          <w:color w:val="auto"/>
        </w:rPr>
        <w:t xml:space="preserve"> prepared by industry specialist auditors are more likely to </w:t>
      </w:r>
      <w:r w:rsidR="00C621A4" w:rsidRPr="007F32A3">
        <w:rPr>
          <w:color w:val="auto"/>
        </w:rPr>
        <w:t>contain all substances required to be disclosed by the T</w:t>
      </w:r>
      <w:r w:rsidR="00BD3A9B" w:rsidRPr="007F32A3">
        <w:rPr>
          <w:color w:val="auto"/>
          <w:lang w:val="en"/>
        </w:rPr>
        <w:t>SAS No.</w:t>
      </w:r>
      <w:r w:rsidR="00FB1B3B" w:rsidRPr="007F32A3">
        <w:rPr>
          <w:color w:val="auto"/>
          <w:lang w:val="en"/>
        </w:rPr>
        <w:t xml:space="preserve"> </w:t>
      </w:r>
      <w:r w:rsidR="00C621A4" w:rsidRPr="007F32A3">
        <w:rPr>
          <w:color w:val="auto"/>
          <w:lang w:val="en"/>
        </w:rPr>
        <w:t>58</w:t>
      </w:r>
      <w:r w:rsidR="00C621A4" w:rsidRPr="007F32A3">
        <w:rPr>
          <w:color w:val="auto"/>
        </w:rPr>
        <w:t xml:space="preserve"> and have fewer deficiencies</w:t>
      </w:r>
      <w:r w:rsidR="00FD1A85" w:rsidRPr="007F32A3">
        <w:rPr>
          <w:color w:val="auto"/>
        </w:rPr>
        <w:t>; thus, the</w:t>
      </w:r>
      <w:r w:rsidR="00253CD9" w:rsidRPr="007F32A3">
        <w:rPr>
          <w:color w:val="auto"/>
        </w:rPr>
        <w:t xml:space="preserve"> </w:t>
      </w:r>
      <w:r w:rsidR="007815EC" w:rsidRPr="007F32A3">
        <w:rPr>
          <w:color w:val="auto"/>
        </w:rPr>
        <w:t xml:space="preserve">second </w:t>
      </w:r>
      <w:r w:rsidR="00253CD9" w:rsidRPr="007F32A3">
        <w:rPr>
          <w:color w:val="auto"/>
        </w:rPr>
        <w:t xml:space="preserve">hypothesis </w:t>
      </w:r>
      <w:r w:rsidR="00FD1A85" w:rsidRPr="007F32A3">
        <w:rPr>
          <w:color w:val="auto"/>
        </w:rPr>
        <w:t xml:space="preserve">is proposed </w:t>
      </w:r>
      <w:r w:rsidR="00253CD9" w:rsidRPr="007F32A3">
        <w:rPr>
          <w:color w:val="auto"/>
        </w:rPr>
        <w:t>as follow</w:t>
      </w:r>
      <w:r w:rsidR="00FD1A85" w:rsidRPr="007F32A3">
        <w:rPr>
          <w:color w:val="auto"/>
        </w:rPr>
        <w:t>s</w:t>
      </w:r>
      <w:r w:rsidR="00253CD9" w:rsidRPr="007F32A3">
        <w:rPr>
          <w:color w:val="auto"/>
        </w:rPr>
        <w:t>:</w:t>
      </w:r>
      <w:r w:rsidR="00C621A4" w:rsidRPr="007F32A3">
        <w:rPr>
          <w:color w:val="auto"/>
        </w:rPr>
        <w:t xml:space="preserve"> </w:t>
      </w:r>
    </w:p>
    <w:p w:rsidR="007B42E8" w:rsidRPr="007F32A3" w:rsidRDefault="007B42E8" w:rsidP="0061290E">
      <w:pPr>
        <w:pStyle w:val="Default"/>
        <w:snapToGrid w:val="0"/>
        <w:spacing w:beforeLines="50" w:before="180" w:afterLines="50" w:after="180" w:line="480" w:lineRule="auto"/>
        <w:ind w:firstLineChars="200" w:firstLine="480"/>
        <w:jc w:val="both"/>
        <w:rPr>
          <w:color w:val="auto"/>
        </w:rPr>
      </w:pPr>
    </w:p>
    <w:p w:rsidR="00C621A4" w:rsidRPr="007F32A3" w:rsidRDefault="00C621A4" w:rsidP="0061290E">
      <w:pPr>
        <w:pStyle w:val="ac"/>
        <w:snapToGrid w:val="0"/>
        <w:spacing w:beforeLines="50" w:before="180" w:afterLines="50" w:after="180" w:line="480" w:lineRule="auto"/>
        <w:ind w:left="1440" w:hangingChars="600" w:hanging="1440"/>
        <w:jc w:val="both"/>
        <w:rPr>
          <w:rFonts w:ascii="Times New Roman" w:hAnsi="Times New Roman" w:cs="Times New Roman"/>
          <w:i/>
          <w:sz w:val="24"/>
          <w:szCs w:val="24"/>
          <w:lang w:val="en"/>
        </w:rPr>
      </w:pPr>
      <w:r w:rsidRPr="007F32A3">
        <w:rPr>
          <w:rFonts w:ascii="Times New Roman" w:hAnsi="Times New Roman" w:cs="Times New Roman"/>
          <w:i/>
          <w:sz w:val="24"/>
          <w:szCs w:val="24"/>
          <w:lang w:val="en"/>
        </w:rPr>
        <w:t xml:space="preserve">Hypothesis </w:t>
      </w:r>
      <w:r w:rsidR="0083362E" w:rsidRPr="007F32A3">
        <w:rPr>
          <w:rFonts w:ascii="Times New Roman" w:hAnsi="Times New Roman" w:cs="Times New Roman"/>
          <w:i/>
          <w:sz w:val="24"/>
          <w:szCs w:val="24"/>
          <w:lang w:val="en"/>
        </w:rPr>
        <w:t>1</w:t>
      </w:r>
      <w:r w:rsidRPr="007F32A3">
        <w:rPr>
          <w:rFonts w:ascii="Times New Roman" w:hAnsi="Times New Roman" w:cs="Times New Roman"/>
          <w:i/>
          <w:sz w:val="24"/>
          <w:szCs w:val="24"/>
          <w:lang w:val="en"/>
        </w:rPr>
        <w:t xml:space="preserve">: Compared </w:t>
      </w:r>
      <w:r w:rsidR="00FD1A85" w:rsidRPr="007F32A3">
        <w:rPr>
          <w:rFonts w:ascii="Times New Roman" w:hAnsi="Times New Roman" w:cs="Times New Roman"/>
          <w:i/>
          <w:sz w:val="24"/>
          <w:szCs w:val="24"/>
          <w:lang w:val="en"/>
        </w:rPr>
        <w:t xml:space="preserve">with </w:t>
      </w:r>
      <w:r w:rsidRPr="007F32A3">
        <w:rPr>
          <w:rFonts w:ascii="Times New Roman" w:hAnsi="Times New Roman" w:cs="Times New Roman"/>
          <w:i/>
          <w:sz w:val="24"/>
          <w:szCs w:val="24"/>
          <w:lang w:val="en"/>
        </w:rPr>
        <w:t xml:space="preserve">the </w:t>
      </w:r>
      <w:r w:rsidR="00EC0588" w:rsidRPr="007F32A3">
        <w:rPr>
          <w:rFonts w:ascii="Times New Roman" w:hAnsi="Times New Roman" w:cs="Times New Roman"/>
          <w:i/>
          <w:sz w:val="24"/>
          <w:szCs w:val="24"/>
          <w:lang w:val="en"/>
        </w:rPr>
        <w:t xml:space="preserve">content </w:t>
      </w:r>
      <w:r w:rsidR="00C32F5D" w:rsidRPr="007F32A3">
        <w:rPr>
          <w:rFonts w:ascii="Times New Roman" w:hAnsi="Times New Roman" w:cs="Times New Roman"/>
          <w:i/>
          <w:sz w:val="24"/>
          <w:szCs w:val="24"/>
          <w:lang w:val="en"/>
        </w:rPr>
        <w:t>quality</w:t>
      </w:r>
      <w:r w:rsidRPr="007F32A3">
        <w:rPr>
          <w:rFonts w:ascii="Times New Roman" w:hAnsi="Times New Roman" w:cs="Times New Roman"/>
          <w:i/>
          <w:sz w:val="24"/>
          <w:szCs w:val="24"/>
          <w:lang w:val="en"/>
        </w:rPr>
        <w:t xml:space="preserve"> of KAM in </w:t>
      </w:r>
      <w:r w:rsidR="00FB1B3B" w:rsidRPr="007F32A3">
        <w:rPr>
          <w:rFonts w:ascii="Times New Roman" w:hAnsi="Times New Roman" w:cs="Times New Roman"/>
          <w:i/>
          <w:sz w:val="24"/>
          <w:szCs w:val="24"/>
          <w:lang w:val="en"/>
        </w:rPr>
        <w:t xml:space="preserve">an </w:t>
      </w:r>
      <w:r w:rsidRPr="007F32A3">
        <w:rPr>
          <w:rFonts w:ascii="Times New Roman" w:hAnsi="Times New Roman" w:cs="Times New Roman"/>
          <w:i/>
          <w:sz w:val="24"/>
          <w:szCs w:val="24"/>
          <w:lang w:val="en"/>
        </w:rPr>
        <w:t xml:space="preserve">audit report </w:t>
      </w:r>
      <w:r w:rsidR="00FB1B3B" w:rsidRPr="007F32A3">
        <w:rPr>
          <w:rFonts w:ascii="Times New Roman" w:hAnsi="Times New Roman" w:cs="Times New Roman"/>
          <w:i/>
          <w:sz w:val="24"/>
          <w:szCs w:val="24"/>
          <w:lang w:val="en"/>
        </w:rPr>
        <w:t>that discusse</w:t>
      </w:r>
      <w:r w:rsidR="007815EC" w:rsidRPr="007F32A3">
        <w:rPr>
          <w:rFonts w:ascii="Times New Roman" w:hAnsi="Times New Roman" w:cs="Times New Roman"/>
          <w:i/>
          <w:sz w:val="24"/>
          <w:szCs w:val="24"/>
          <w:lang w:val="en"/>
        </w:rPr>
        <w:t xml:space="preserve">d by </w:t>
      </w:r>
      <w:r w:rsidRPr="007F32A3">
        <w:rPr>
          <w:rFonts w:ascii="Times New Roman" w:hAnsi="Times New Roman" w:cs="Times New Roman"/>
          <w:i/>
          <w:sz w:val="24"/>
          <w:szCs w:val="24"/>
          <w:lang w:val="en"/>
        </w:rPr>
        <w:t>non</w:t>
      </w:r>
      <w:r w:rsidR="007815EC" w:rsidRPr="007F32A3">
        <w:rPr>
          <w:rFonts w:ascii="Times New Roman" w:hAnsi="Times New Roman" w:cs="Times New Roman"/>
          <w:i/>
          <w:sz w:val="24"/>
          <w:szCs w:val="24"/>
          <w:lang w:val="en"/>
        </w:rPr>
        <w:t>-</w:t>
      </w:r>
      <w:r w:rsidRPr="007F32A3">
        <w:rPr>
          <w:rFonts w:ascii="Times New Roman" w:hAnsi="Times New Roman" w:cs="Times New Roman"/>
          <w:i/>
          <w:sz w:val="24"/>
          <w:szCs w:val="24"/>
          <w:lang w:val="en"/>
        </w:rPr>
        <w:t xml:space="preserve">specialist auditors, the </w:t>
      </w:r>
      <w:r w:rsidR="00C32F5D" w:rsidRPr="007F32A3">
        <w:rPr>
          <w:rFonts w:ascii="Times New Roman" w:hAnsi="Times New Roman" w:cs="Times New Roman"/>
          <w:i/>
          <w:sz w:val="24"/>
          <w:szCs w:val="24"/>
          <w:lang w:val="en"/>
        </w:rPr>
        <w:t>content</w:t>
      </w:r>
      <w:r w:rsidRPr="007F32A3">
        <w:rPr>
          <w:rFonts w:ascii="Times New Roman" w:hAnsi="Times New Roman" w:cs="Times New Roman"/>
          <w:i/>
          <w:sz w:val="24"/>
          <w:szCs w:val="24"/>
          <w:lang w:val="en"/>
        </w:rPr>
        <w:t xml:space="preserve"> </w:t>
      </w:r>
      <w:r w:rsidR="00EC0588" w:rsidRPr="007F32A3">
        <w:rPr>
          <w:rFonts w:ascii="Times New Roman" w:hAnsi="Times New Roman" w:cs="Times New Roman"/>
          <w:i/>
          <w:sz w:val="24"/>
          <w:szCs w:val="24"/>
          <w:lang w:val="en"/>
        </w:rPr>
        <w:t xml:space="preserve">quality </w:t>
      </w:r>
      <w:r w:rsidRPr="007F32A3">
        <w:rPr>
          <w:rFonts w:ascii="Times New Roman" w:hAnsi="Times New Roman" w:cs="Times New Roman"/>
          <w:i/>
          <w:sz w:val="24"/>
          <w:szCs w:val="24"/>
          <w:lang w:val="en"/>
        </w:rPr>
        <w:t>of KAM</w:t>
      </w:r>
      <w:r w:rsidR="00C32F5D" w:rsidRPr="007F32A3">
        <w:rPr>
          <w:rFonts w:ascii="Times New Roman" w:hAnsi="Times New Roman" w:cs="Times New Roman"/>
          <w:i/>
          <w:sz w:val="24"/>
          <w:szCs w:val="24"/>
          <w:lang w:val="en"/>
        </w:rPr>
        <w:t xml:space="preserve"> is </w:t>
      </w:r>
      <w:r w:rsidR="00EC0588" w:rsidRPr="007F32A3">
        <w:rPr>
          <w:rFonts w:ascii="Times New Roman" w:hAnsi="Times New Roman" w:cs="Times New Roman"/>
          <w:i/>
          <w:sz w:val="24"/>
          <w:szCs w:val="24"/>
          <w:lang w:val="en"/>
        </w:rPr>
        <w:t>higher</w:t>
      </w:r>
      <w:r w:rsidRPr="007F32A3">
        <w:rPr>
          <w:rFonts w:ascii="Times New Roman" w:hAnsi="Times New Roman" w:cs="Times New Roman"/>
          <w:i/>
          <w:sz w:val="24"/>
          <w:szCs w:val="24"/>
          <w:lang w:val="en"/>
        </w:rPr>
        <w:t xml:space="preserve"> in the audit report that discuss</w:t>
      </w:r>
      <w:r w:rsidR="00FB1B3B" w:rsidRPr="007F32A3">
        <w:rPr>
          <w:rFonts w:ascii="Times New Roman" w:hAnsi="Times New Roman" w:cs="Times New Roman"/>
          <w:i/>
          <w:sz w:val="24"/>
          <w:szCs w:val="24"/>
          <w:lang w:val="en"/>
        </w:rPr>
        <w:t>e</w:t>
      </w:r>
      <w:r w:rsidR="007815EC" w:rsidRPr="007F32A3">
        <w:rPr>
          <w:rFonts w:ascii="Times New Roman" w:hAnsi="Times New Roman" w:cs="Times New Roman"/>
          <w:i/>
          <w:sz w:val="24"/>
          <w:szCs w:val="24"/>
          <w:lang w:val="en"/>
        </w:rPr>
        <w:t>d by</w:t>
      </w:r>
      <w:r w:rsidRPr="007F32A3">
        <w:rPr>
          <w:rFonts w:ascii="Times New Roman" w:hAnsi="Times New Roman" w:cs="Times New Roman"/>
          <w:i/>
          <w:sz w:val="24"/>
          <w:szCs w:val="24"/>
          <w:lang w:val="en"/>
        </w:rPr>
        <w:t xml:space="preserve"> specialist auditors.</w:t>
      </w:r>
    </w:p>
    <w:p w:rsidR="00473CDA" w:rsidRPr="007F32A3" w:rsidRDefault="00473CDA" w:rsidP="0061290E">
      <w:pPr>
        <w:snapToGrid w:val="0"/>
        <w:spacing w:beforeLines="50" w:before="180" w:afterLines="50" w:after="180" w:line="480" w:lineRule="auto"/>
        <w:jc w:val="center"/>
        <w:rPr>
          <w:rStyle w:val="ab"/>
          <w:rFonts w:ascii="Times New Roman" w:eastAsia="標楷體" w:hAnsi="Times New Roman" w:cs="Times New Roman"/>
          <w:szCs w:val="24"/>
        </w:rPr>
      </w:pPr>
      <w:r w:rsidRPr="007F32A3">
        <w:rPr>
          <w:rStyle w:val="ab"/>
          <w:rFonts w:ascii="Times New Roman" w:eastAsia="標楷體" w:hAnsi="Times New Roman" w:cs="Times New Roman"/>
          <w:szCs w:val="24"/>
        </w:rPr>
        <w:t>III. RESEARCH METHOD</w:t>
      </w:r>
    </w:p>
    <w:p w:rsidR="00BD3A9B" w:rsidRPr="007F32A3" w:rsidRDefault="00BD3A9B" w:rsidP="0061290E">
      <w:pPr>
        <w:autoSpaceDE w:val="0"/>
        <w:autoSpaceDN w:val="0"/>
        <w:adjustRightInd w:val="0"/>
        <w:snapToGrid w:val="0"/>
        <w:spacing w:beforeLines="100" w:before="360" w:afterLines="50" w:after="180" w:line="480" w:lineRule="auto"/>
        <w:ind w:rightChars="-136" w:right="-326"/>
        <w:jc w:val="both"/>
        <w:rPr>
          <w:rFonts w:ascii="Times New Roman" w:hAnsi="Times New Roman" w:cs="Times New Roman"/>
          <w:kern w:val="0"/>
          <w:szCs w:val="24"/>
        </w:rPr>
      </w:pPr>
      <w:r w:rsidRPr="007F32A3">
        <w:rPr>
          <w:rFonts w:ascii="Times New Roman" w:hAnsi="Times New Roman" w:cs="Times New Roman"/>
          <w:b/>
          <w:bCs/>
          <w:kern w:val="0"/>
          <w:szCs w:val="24"/>
        </w:rPr>
        <w:t xml:space="preserve">Measurement of </w:t>
      </w:r>
      <w:r w:rsidR="00FD5589" w:rsidRPr="007F32A3">
        <w:rPr>
          <w:rFonts w:ascii="Times New Roman" w:hAnsi="Times New Roman" w:cs="Times New Roman"/>
          <w:b/>
          <w:bCs/>
          <w:kern w:val="0"/>
          <w:szCs w:val="24"/>
        </w:rPr>
        <w:t>content quality of KAM disclosure</w:t>
      </w:r>
      <w:r w:rsidR="00530B1C" w:rsidRPr="007F32A3">
        <w:rPr>
          <w:rFonts w:ascii="Times New Roman" w:hAnsi="Times New Roman" w:cs="Times New Roman"/>
          <w:b/>
          <w:bCs/>
          <w:kern w:val="0"/>
          <w:szCs w:val="24"/>
        </w:rPr>
        <w:t xml:space="preserve"> </w:t>
      </w:r>
    </w:p>
    <w:p w:rsidR="00BD3A9B" w:rsidRPr="007F32A3" w:rsidRDefault="00530B1C" w:rsidP="0061290E">
      <w:pPr>
        <w:autoSpaceDE w:val="0"/>
        <w:autoSpaceDN w:val="0"/>
        <w:adjustRightInd w:val="0"/>
        <w:snapToGrid w:val="0"/>
        <w:spacing w:beforeLines="50" w:before="180" w:afterLines="50" w:after="180" w:line="480" w:lineRule="auto"/>
        <w:ind w:rightChars="-136" w:right="-326" w:firstLineChars="200" w:firstLine="480"/>
        <w:jc w:val="both"/>
        <w:rPr>
          <w:rFonts w:ascii="Times New Roman" w:hAnsi="Times New Roman" w:cs="Times New Roman"/>
          <w:kern w:val="0"/>
          <w:szCs w:val="24"/>
        </w:rPr>
      </w:pPr>
      <w:r w:rsidRPr="007F32A3">
        <w:rPr>
          <w:rFonts w:ascii="Times New Roman" w:hAnsi="Times New Roman" w:cs="Times New Roman"/>
          <w:kern w:val="0"/>
          <w:szCs w:val="24"/>
        </w:rPr>
        <w:t xml:space="preserve">For the content of KAM, Chen (2017) </w:t>
      </w:r>
      <w:r w:rsidR="00E103AF" w:rsidRPr="007F32A3">
        <w:rPr>
          <w:rFonts w:ascii="Times New Roman" w:hAnsi="Times New Roman" w:cs="Times New Roman"/>
          <w:kern w:val="0"/>
          <w:szCs w:val="24"/>
        </w:rPr>
        <w:t xml:space="preserve">revealed </w:t>
      </w:r>
      <w:r w:rsidRPr="007F32A3">
        <w:rPr>
          <w:rFonts w:ascii="Times New Roman" w:hAnsi="Times New Roman" w:cs="Times New Roman"/>
          <w:kern w:val="0"/>
          <w:szCs w:val="24"/>
        </w:rPr>
        <w:t>that presentation or substantial deficiencies of KAM disclosure may cause financial statement users to have difficulty to read or understand the information of KAM.</w:t>
      </w:r>
      <w:r w:rsidR="00BD3A9B" w:rsidRPr="007F32A3">
        <w:rPr>
          <w:rFonts w:ascii="Times New Roman" w:hAnsi="Times New Roman" w:cs="Times New Roman"/>
          <w:kern w:val="0"/>
          <w:szCs w:val="24"/>
        </w:rPr>
        <w:t xml:space="preserve"> </w:t>
      </w:r>
      <w:r w:rsidRPr="007F32A3">
        <w:rPr>
          <w:rFonts w:ascii="Times New Roman" w:hAnsi="Times New Roman" w:cs="Times New Roman"/>
          <w:kern w:val="0"/>
          <w:szCs w:val="24"/>
        </w:rPr>
        <w:t xml:space="preserve">Thus, this study develops a </w:t>
      </w:r>
      <w:r w:rsidR="00BD3A9B" w:rsidRPr="007F32A3">
        <w:rPr>
          <w:rFonts w:ascii="Times New Roman" w:hAnsi="Times New Roman" w:cs="Times New Roman"/>
          <w:kern w:val="0"/>
          <w:szCs w:val="24"/>
        </w:rPr>
        <w:t>comprehensive index</w:t>
      </w:r>
      <w:r w:rsidRPr="007F32A3">
        <w:rPr>
          <w:rFonts w:ascii="Times New Roman" w:hAnsi="Times New Roman" w:cs="Times New Roman"/>
          <w:kern w:val="0"/>
          <w:szCs w:val="24"/>
        </w:rPr>
        <w:t>, according to Chen (2017), to capture</w:t>
      </w:r>
      <w:r w:rsidR="00BD3A9B" w:rsidRPr="007F32A3">
        <w:rPr>
          <w:rFonts w:ascii="Times New Roman" w:hAnsi="Times New Roman" w:cs="Times New Roman"/>
          <w:kern w:val="0"/>
          <w:szCs w:val="24"/>
        </w:rPr>
        <w:t xml:space="preserve"> the integrity degree of </w:t>
      </w:r>
      <w:r w:rsidR="00073FDB" w:rsidRPr="007F32A3">
        <w:rPr>
          <w:rFonts w:ascii="Times New Roman" w:hAnsi="Times New Roman" w:cs="Times New Roman"/>
          <w:kern w:val="0"/>
          <w:szCs w:val="24"/>
        </w:rPr>
        <w:t xml:space="preserve">a company’s </w:t>
      </w:r>
      <w:r w:rsidR="00BD3A9B" w:rsidRPr="007F32A3">
        <w:rPr>
          <w:rFonts w:ascii="Times New Roman" w:hAnsi="Times New Roman" w:cs="Times New Roman"/>
          <w:kern w:val="0"/>
          <w:szCs w:val="24"/>
        </w:rPr>
        <w:t xml:space="preserve">KAM disclosure content, </w:t>
      </w:r>
      <w:r w:rsidR="00073FDB" w:rsidRPr="007F32A3">
        <w:rPr>
          <w:rFonts w:ascii="Times New Roman" w:hAnsi="Times New Roman" w:cs="Times New Roman"/>
          <w:kern w:val="0"/>
          <w:szCs w:val="24"/>
        </w:rPr>
        <w:t xml:space="preserve">which </w:t>
      </w:r>
      <w:r w:rsidR="00BD3A9B" w:rsidRPr="007F32A3">
        <w:rPr>
          <w:rFonts w:ascii="Times New Roman" w:hAnsi="Times New Roman" w:cs="Times New Roman"/>
          <w:kern w:val="0"/>
          <w:szCs w:val="24"/>
        </w:rPr>
        <w:t>include</w:t>
      </w:r>
      <w:r w:rsidR="005659A1" w:rsidRPr="007F32A3">
        <w:rPr>
          <w:rFonts w:ascii="Times New Roman" w:hAnsi="Times New Roman" w:cs="Times New Roman"/>
          <w:kern w:val="0"/>
          <w:szCs w:val="24"/>
        </w:rPr>
        <w:t xml:space="preserve"> following six criteria:</w:t>
      </w:r>
      <w:r w:rsidR="00BD3A9B" w:rsidRPr="007F32A3">
        <w:rPr>
          <w:rFonts w:ascii="Times New Roman" w:hAnsi="Times New Roman" w:cs="Times New Roman"/>
          <w:kern w:val="0"/>
          <w:szCs w:val="24"/>
        </w:rPr>
        <w:t xml:space="preserve"> </w:t>
      </w:r>
      <w:r w:rsidR="005659A1" w:rsidRPr="007F32A3">
        <w:rPr>
          <w:rFonts w:ascii="Times New Roman" w:hAnsi="Times New Roman" w:cs="Times New Roman"/>
          <w:kern w:val="0"/>
          <w:szCs w:val="24"/>
        </w:rPr>
        <w:t xml:space="preserve">(1) </w:t>
      </w:r>
      <w:r w:rsidRPr="007F32A3">
        <w:rPr>
          <w:rFonts w:ascii="Times New Roman" w:hAnsi="Times New Roman" w:cs="Times New Roman"/>
          <w:kern w:val="0"/>
          <w:szCs w:val="24"/>
        </w:rPr>
        <w:t>whether the matter discussed should be considered as a KAM</w:t>
      </w:r>
      <w:r w:rsidR="005659A1" w:rsidRPr="007F32A3">
        <w:rPr>
          <w:rFonts w:ascii="Times New Roman" w:hAnsi="Times New Roman" w:cs="Times New Roman"/>
          <w:kern w:val="0"/>
          <w:szCs w:val="24"/>
        </w:rPr>
        <w:t>;</w:t>
      </w:r>
      <w:r w:rsidRPr="007F32A3">
        <w:rPr>
          <w:rFonts w:ascii="Times New Roman" w:hAnsi="Times New Roman" w:cs="Times New Roman"/>
          <w:kern w:val="0"/>
          <w:szCs w:val="24"/>
        </w:rPr>
        <w:t xml:space="preserve"> </w:t>
      </w:r>
      <w:r w:rsidR="005659A1" w:rsidRPr="007F32A3">
        <w:rPr>
          <w:rFonts w:ascii="Times New Roman" w:hAnsi="Times New Roman" w:cs="Times New Roman"/>
          <w:kern w:val="0"/>
          <w:szCs w:val="24"/>
        </w:rPr>
        <w:t xml:space="preserve">(2) </w:t>
      </w:r>
      <w:r w:rsidRPr="007F32A3">
        <w:rPr>
          <w:rFonts w:ascii="Times New Roman" w:hAnsi="Times New Roman" w:cs="Times New Roman"/>
          <w:kern w:val="0"/>
          <w:szCs w:val="24"/>
        </w:rPr>
        <w:t>whether the discuss</w:t>
      </w:r>
      <w:r w:rsidR="00073FDB" w:rsidRPr="007F32A3">
        <w:rPr>
          <w:rFonts w:ascii="Times New Roman" w:hAnsi="Times New Roman" w:cs="Times New Roman"/>
          <w:kern w:val="0"/>
          <w:szCs w:val="24"/>
        </w:rPr>
        <w:t>ion</w:t>
      </w:r>
      <w:r w:rsidRPr="007F32A3">
        <w:rPr>
          <w:rFonts w:ascii="Times New Roman" w:hAnsi="Times New Roman" w:cs="Times New Roman"/>
          <w:kern w:val="0"/>
          <w:szCs w:val="24"/>
        </w:rPr>
        <w:t xml:space="preserve"> of KAM provide</w:t>
      </w:r>
      <w:r w:rsidR="00073FDB" w:rsidRPr="007F32A3">
        <w:rPr>
          <w:rFonts w:ascii="Times New Roman" w:hAnsi="Times New Roman" w:cs="Times New Roman"/>
          <w:kern w:val="0"/>
          <w:szCs w:val="24"/>
        </w:rPr>
        <w:t>d</w:t>
      </w:r>
      <w:r w:rsidRPr="007F32A3">
        <w:rPr>
          <w:rFonts w:ascii="Times New Roman" w:hAnsi="Times New Roman" w:cs="Times New Roman"/>
          <w:kern w:val="0"/>
          <w:szCs w:val="24"/>
        </w:rPr>
        <w:t xml:space="preserve"> linkage</w:t>
      </w:r>
      <w:r w:rsidR="00BD3A9B" w:rsidRPr="007F32A3">
        <w:rPr>
          <w:rFonts w:ascii="Times New Roman" w:hAnsi="Times New Roman" w:cs="Times New Roman"/>
          <w:kern w:val="0"/>
          <w:szCs w:val="24"/>
        </w:rPr>
        <w:t xml:space="preserve"> to a specific level</w:t>
      </w:r>
      <w:r w:rsidRPr="007F32A3">
        <w:rPr>
          <w:rFonts w:ascii="Times New Roman" w:hAnsi="Times New Roman" w:cs="Times New Roman"/>
          <w:kern w:val="0"/>
          <w:szCs w:val="24"/>
        </w:rPr>
        <w:t xml:space="preserve"> of the account it mentioned</w:t>
      </w:r>
      <w:r w:rsidR="005659A1" w:rsidRPr="007F32A3">
        <w:rPr>
          <w:rFonts w:ascii="Times New Roman" w:hAnsi="Times New Roman" w:cs="Times New Roman"/>
          <w:kern w:val="0"/>
          <w:szCs w:val="24"/>
        </w:rPr>
        <w:t>;</w:t>
      </w:r>
      <w:r w:rsidR="00BD3A9B" w:rsidRPr="007F32A3">
        <w:rPr>
          <w:rFonts w:ascii="Times New Roman" w:hAnsi="Times New Roman" w:cs="Times New Roman"/>
          <w:kern w:val="0"/>
          <w:szCs w:val="24"/>
        </w:rPr>
        <w:t xml:space="preserve"> </w:t>
      </w:r>
      <w:r w:rsidR="005659A1" w:rsidRPr="007F32A3">
        <w:rPr>
          <w:rFonts w:ascii="Times New Roman" w:hAnsi="Times New Roman" w:cs="Times New Roman"/>
          <w:kern w:val="0"/>
          <w:szCs w:val="24"/>
        </w:rPr>
        <w:t xml:space="preserve">(3) </w:t>
      </w:r>
      <w:r w:rsidRPr="007F32A3">
        <w:rPr>
          <w:rFonts w:ascii="Times New Roman" w:hAnsi="Times New Roman" w:cs="Times New Roman"/>
          <w:kern w:val="0"/>
          <w:szCs w:val="24"/>
        </w:rPr>
        <w:t xml:space="preserve">whether </w:t>
      </w:r>
      <w:r w:rsidR="00BD3A9B" w:rsidRPr="007F32A3">
        <w:rPr>
          <w:rFonts w:ascii="Times New Roman" w:hAnsi="Times New Roman" w:cs="Times New Roman"/>
          <w:kern w:val="0"/>
          <w:szCs w:val="24"/>
        </w:rPr>
        <w:t>excessive standardized phraseology</w:t>
      </w:r>
      <w:r w:rsidRPr="007F32A3">
        <w:rPr>
          <w:rFonts w:ascii="Times New Roman" w:hAnsi="Times New Roman" w:cs="Times New Roman"/>
          <w:kern w:val="0"/>
          <w:szCs w:val="24"/>
        </w:rPr>
        <w:t xml:space="preserve"> is used to discuss KAM</w:t>
      </w:r>
      <w:r w:rsidR="005659A1" w:rsidRPr="007F32A3">
        <w:rPr>
          <w:rFonts w:ascii="Times New Roman" w:hAnsi="Times New Roman" w:cs="Times New Roman"/>
          <w:kern w:val="0"/>
          <w:szCs w:val="24"/>
        </w:rPr>
        <w:t>;</w:t>
      </w:r>
      <w:r w:rsidR="00BD3A9B" w:rsidRPr="007F32A3">
        <w:rPr>
          <w:rFonts w:ascii="Times New Roman" w:hAnsi="Times New Roman" w:cs="Times New Roman"/>
          <w:kern w:val="0"/>
          <w:szCs w:val="24"/>
        </w:rPr>
        <w:t xml:space="preserve"> </w:t>
      </w:r>
      <w:r w:rsidR="005659A1" w:rsidRPr="007F32A3">
        <w:rPr>
          <w:rFonts w:ascii="Times New Roman" w:hAnsi="Times New Roman" w:cs="Times New Roman"/>
          <w:kern w:val="0"/>
          <w:szCs w:val="24"/>
        </w:rPr>
        <w:t xml:space="preserve">(4) </w:t>
      </w:r>
      <w:r w:rsidR="00723D56" w:rsidRPr="007F32A3">
        <w:rPr>
          <w:rFonts w:ascii="Times New Roman" w:hAnsi="Times New Roman" w:cs="Times New Roman"/>
          <w:kern w:val="0"/>
          <w:szCs w:val="24"/>
        </w:rPr>
        <w:t>whether the content of KAM provide</w:t>
      </w:r>
      <w:r w:rsidR="00E103AF" w:rsidRPr="007F32A3">
        <w:rPr>
          <w:rFonts w:ascii="Times New Roman" w:hAnsi="Times New Roman" w:cs="Times New Roman"/>
          <w:kern w:val="0"/>
          <w:szCs w:val="24"/>
        </w:rPr>
        <w:t>s</w:t>
      </w:r>
      <w:r w:rsidR="00723D56" w:rsidRPr="007F32A3">
        <w:rPr>
          <w:rFonts w:ascii="Times New Roman" w:hAnsi="Times New Roman" w:cs="Times New Roman"/>
          <w:kern w:val="0"/>
          <w:szCs w:val="24"/>
        </w:rPr>
        <w:t xml:space="preserve"> the index of </w:t>
      </w:r>
      <w:r w:rsidR="00073FDB" w:rsidRPr="007F32A3">
        <w:rPr>
          <w:rFonts w:ascii="Times New Roman" w:hAnsi="Times New Roman" w:cs="Times New Roman"/>
          <w:kern w:val="0"/>
          <w:szCs w:val="24"/>
        </w:rPr>
        <w:t>KAM-</w:t>
      </w:r>
      <w:r w:rsidR="00723D56" w:rsidRPr="007F32A3">
        <w:rPr>
          <w:rFonts w:ascii="Times New Roman" w:hAnsi="Times New Roman" w:cs="Times New Roman"/>
          <w:kern w:val="0"/>
          <w:szCs w:val="24"/>
        </w:rPr>
        <w:t>related disclosure in financial report</w:t>
      </w:r>
      <w:r w:rsidR="00073FDB" w:rsidRPr="007F32A3">
        <w:rPr>
          <w:rFonts w:ascii="Times New Roman" w:hAnsi="Times New Roman" w:cs="Times New Roman"/>
          <w:kern w:val="0"/>
          <w:szCs w:val="24"/>
        </w:rPr>
        <w:t>s</w:t>
      </w:r>
      <w:r w:rsidR="005659A1" w:rsidRPr="007F32A3">
        <w:rPr>
          <w:rFonts w:ascii="Times New Roman" w:hAnsi="Times New Roman" w:cs="Times New Roman"/>
          <w:kern w:val="0"/>
          <w:szCs w:val="24"/>
        </w:rPr>
        <w:t>;</w:t>
      </w:r>
      <w:r w:rsidR="00723D56" w:rsidRPr="007F32A3">
        <w:rPr>
          <w:rFonts w:ascii="Times New Roman" w:hAnsi="Times New Roman" w:cs="Times New Roman"/>
          <w:kern w:val="0"/>
          <w:szCs w:val="24"/>
        </w:rPr>
        <w:t xml:space="preserve"> </w:t>
      </w:r>
      <w:r w:rsidR="005659A1" w:rsidRPr="007F32A3">
        <w:rPr>
          <w:rFonts w:ascii="Times New Roman" w:hAnsi="Times New Roman" w:cs="Times New Roman"/>
          <w:kern w:val="0"/>
          <w:szCs w:val="24"/>
        </w:rPr>
        <w:t xml:space="preserve">(5) </w:t>
      </w:r>
      <w:r w:rsidR="00723D56" w:rsidRPr="007F32A3">
        <w:rPr>
          <w:rFonts w:ascii="Times New Roman" w:hAnsi="Times New Roman" w:cs="Times New Roman"/>
          <w:kern w:val="0"/>
          <w:szCs w:val="24"/>
        </w:rPr>
        <w:t>whether the title of KAM is appropriate</w:t>
      </w:r>
      <w:r w:rsidR="005659A1" w:rsidRPr="007F32A3">
        <w:rPr>
          <w:rFonts w:ascii="Times New Roman" w:hAnsi="Times New Roman" w:cs="Times New Roman"/>
          <w:kern w:val="0"/>
          <w:szCs w:val="24"/>
        </w:rPr>
        <w:t xml:space="preserve">; and (6) </w:t>
      </w:r>
      <w:r w:rsidR="00E94F0B" w:rsidRPr="007F32A3">
        <w:rPr>
          <w:rFonts w:ascii="Times New Roman" w:hAnsi="Times New Roman" w:cs="Times New Roman"/>
          <w:kern w:val="0"/>
          <w:szCs w:val="24"/>
        </w:rPr>
        <w:t>whether the note of KAM is adequate</w:t>
      </w:r>
      <w:r w:rsidR="00AC65C4" w:rsidRPr="007F32A3">
        <w:rPr>
          <w:rFonts w:ascii="Times New Roman" w:hAnsi="Times New Roman" w:cs="Times New Roman"/>
          <w:kern w:val="0"/>
          <w:szCs w:val="24"/>
        </w:rPr>
        <w:t xml:space="preserve">. </w:t>
      </w:r>
    </w:p>
    <w:p w:rsidR="00AC65C4" w:rsidRPr="007F32A3" w:rsidRDefault="00AC65C4" w:rsidP="0061290E">
      <w:pPr>
        <w:autoSpaceDE w:val="0"/>
        <w:autoSpaceDN w:val="0"/>
        <w:adjustRightInd w:val="0"/>
        <w:snapToGrid w:val="0"/>
        <w:spacing w:beforeLines="50" w:before="180" w:afterLines="50" w:after="180" w:line="480" w:lineRule="auto"/>
        <w:ind w:rightChars="-136" w:right="-326" w:firstLineChars="200" w:firstLine="480"/>
        <w:jc w:val="both"/>
        <w:rPr>
          <w:rFonts w:ascii="Times New Roman" w:hAnsi="Times New Roman" w:cs="Times New Roman"/>
          <w:kern w:val="0"/>
          <w:szCs w:val="24"/>
        </w:rPr>
      </w:pPr>
      <w:r w:rsidRPr="007F32A3">
        <w:rPr>
          <w:rFonts w:ascii="Times New Roman" w:hAnsi="Times New Roman" w:cs="Times New Roman"/>
          <w:kern w:val="0"/>
          <w:szCs w:val="24"/>
        </w:rPr>
        <w:t xml:space="preserve">For each company, this study will identify the deficiencies according to </w:t>
      </w:r>
      <w:r w:rsidR="00073FDB" w:rsidRPr="007F32A3">
        <w:rPr>
          <w:rFonts w:ascii="Times New Roman" w:hAnsi="Times New Roman" w:cs="Times New Roman"/>
          <w:kern w:val="0"/>
          <w:szCs w:val="24"/>
        </w:rPr>
        <w:t>the above-</w:t>
      </w:r>
      <w:r w:rsidRPr="007F32A3">
        <w:rPr>
          <w:rFonts w:ascii="Times New Roman" w:hAnsi="Times New Roman" w:cs="Times New Roman"/>
          <w:kern w:val="0"/>
          <w:szCs w:val="24"/>
        </w:rPr>
        <w:t>mentioned issue, if any</w:t>
      </w:r>
      <w:r w:rsidR="00073FDB" w:rsidRPr="007F32A3">
        <w:rPr>
          <w:rFonts w:ascii="Times New Roman" w:hAnsi="Times New Roman" w:cs="Times New Roman"/>
          <w:kern w:val="0"/>
          <w:szCs w:val="24"/>
        </w:rPr>
        <w:t xml:space="preserve">, </w:t>
      </w:r>
      <w:r w:rsidRPr="007F32A3">
        <w:rPr>
          <w:rFonts w:ascii="Times New Roman" w:hAnsi="Times New Roman" w:cs="Times New Roman"/>
          <w:kern w:val="0"/>
          <w:szCs w:val="24"/>
        </w:rPr>
        <w:t>and each deficiency will be de</w:t>
      </w:r>
      <w:r w:rsidR="00852C8E" w:rsidRPr="007F32A3">
        <w:rPr>
          <w:rFonts w:ascii="Times New Roman" w:hAnsi="Times New Roman" w:cs="Times New Roman"/>
          <w:kern w:val="0"/>
          <w:szCs w:val="24"/>
        </w:rPr>
        <w:t>ducted one point of</w:t>
      </w:r>
      <w:r w:rsidR="00073FDB" w:rsidRPr="007F32A3">
        <w:rPr>
          <w:rFonts w:ascii="Times New Roman" w:hAnsi="Times New Roman" w:cs="Times New Roman"/>
          <w:kern w:val="0"/>
          <w:szCs w:val="24"/>
        </w:rPr>
        <w:t>f</w:t>
      </w:r>
      <w:r w:rsidR="00852C8E" w:rsidRPr="007F32A3">
        <w:rPr>
          <w:rFonts w:ascii="Times New Roman" w:hAnsi="Times New Roman" w:cs="Times New Roman"/>
          <w:kern w:val="0"/>
          <w:szCs w:val="24"/>
        </w:rPr>
        <w:t xml:space="preserve"> the comprehensive index. That is, companies without any deficiency will </w:t>
      </w:r>
      <w:r w:rsidR="00073FDB" w:rsidRPr="007F32A3">
        <w:rPr>
          <w:rFonts w:ascii="Times New Roman" w:hAnsi="Times New Roman" w:cs="Times New Roman"/>
          <w:kern w:val="0"/>
          <w:szCs w:val="24"/>
        </w:rPr>
        <w:t xml:space="preserve">receive </w:t>
      </w:r>
      <w:r w:rsidR="00852C8E" w:rsidRPr="007F32A3">
        <w:rPr>
          <w:rFonts w:ascii="Times New Roman" w:hAnsi="Times New Roman" w:cs="Times New Roman"/>
          <w:kern w:val="0"/>
          <w:szCs w:val="24"/>
        </w:rPr>
        <w:t>a seven of</w:t>
      </w:r>
      <w:r w:rsidR="00E103AF" w:rsidRPr="007F32A3">
        <w:rPr>
          <w:rFonts w:ascii="Times New Roman" w:hAnsi="Times New Roman" w:cs="Times New Roman"/>
          <w:kern w:val="0"/>
          <w:szCs w:val="24"/>
        </w:rPr>
        <w:t>f</w:t>
      </w:r>
      <w:r w:rsidR="00852C8E" w:rsidRPr="007F32A3">
        <w:rPr>
          <w:rFonts w:ascii="Times New Roman" w:hAnsi="Times New Roman" w:cs="Times New Roman"/>
          <w:kern w:val="0"/>
          <w:szCs w:val="24"/>
        </w:rPr>
        <w:t xml:space="preserve"> the index</w:t>
      </w:r>
      <w:r w:rsidR="00073FDB" w:rsidRPr="007F32A3">
        <w:rPr>
          <w:rFonts w:ascii="Times New Roman" w:hAnsi="Times New Roman" w:cs="Times New Roman"/>
          <w:kern w:val="0"/>
          <w:szCs w:val="24"/>
        </w:rPr>
        <w:t>,</w:t>
      </w:r>
      <w:r w:rsidR="00852C8E" w:rsidRPr="007F32A3">
        <w:rPr>
          <w:rFonts w:ascii="Times New Roman" w:hAnsi="Times New Roman" w:cs="Times New Roman"/>
          <w:kern w:val="0"/>
          <w:szCs w:val="24"/>
        </w:rPr>
        <w:t xml:space="preserve"> and companies with whole deficiencies</w:t>
      </w:r>
      <w:r w:rsidR="00073FDB" w:rsidRPr="007F32A3">
        <w:rPr>
          <w:rFonts w:ascii="Times New Roman" w:hAnsi="Times New Roman" w:cs="Times New Roman"/>
          <w:kern w:val="0"/>
          <w:szCs w:val="24"/>
        </w:rPr>
        <w:t>, as</w:t>
      </w:r>
      <w:r w:rsidR="00852C8E" w:rsidRPr="007F32A3">
        <w:rPr>
          <w:rFonts w:ascii="Times New Roman" w:hAnsi="Times New Roman" w:cs="Times New Roman"/>
          <w:kern w:val="0"/>
          <w:szCs w:val="24"/>
        </w:rPr>
        <w:t xml:space="preserve"> </w:t>
      </w:r>
      <w:r w:rsidR="00852C8E" w:rsidRPr="007F32A3">
        <w:rPr>
          <w:rFonts w:ascii="Times New Roman" w:hAnsi="Times New Roman" w:cs="Times New Roman"/>
          <w:kern w:val="0"/>
          <w:szCs w:val="24"/>
        </w:rPr>
        <w:lastRenderedPageBreak/>
        <w:t>mentioned above</w:t>
      </w:r>
      <w:r w:rsidR="00073FDB" w:rsidRPr="007F32A3">
        <w:rPr>
          <w:rFonts w:ascii="Times New Roman" w:hAnsi="Times New Roman" w:cs="Times New Roman"/>
          <w:kern w:val="0"/>
          <w:szCs w:val="24"/>
        </w:rPr>
        <w:t>,</w:t>
      </w:r>
      <w:r w:rsidR="00852C8E" w:rsidRPr="007F32A3">
        <w:rPr>
          <w:rFonts w:ascii="Times New Roman" w:hAnsi="Times New Roman" w:cs="Times New Roman"/>
          <w:kern w:val="0"/>
          <w:szCs w:val="24"/>
        </w:rPr>
        <w:t xml:space="preserve"> will </w:t>
      </w:r>
      <w:r w:rsidR="00073FDB" w:rsidRPr="007F32A3">
        <w:rPr>
          <w:rFonts w:ascii="Times New Roman" w:hAnsi="Times New Roman" w:cs="Times New Roman"/>
          <w:kern w:val="0"/>
          <w:szCs w:val="24"/>
        </w:rPr>
        <w:t xml:space="preserve">receive </w:t>
      </w:r>
      <w:r w:rsidR="00852C8E" w:rsidRPr="007F32A3">
        <w:rPr>
          <w:rFonts w:ascii="Times New Roman" w:hAnsi="Times New Roman" w:cs="Times New Roman"/>
          <w:kern w:val="0"/>
          <w:szCs w:val="24"/>
        </w:rPr>
        <w:t>a zero of</w:t>
      </w:r>
      <w:r w:rsidR="00E103AF" w:rsidRPr="007F32A3">
        <w:rPr>
          <w:rFonts w:ascii="Times New Roman" w:hAnsi="Times New Roman" w:cs="Times New Roman"/>
          <w:kern w:val="0"/>
          <w:szCs w:val="24"/>
        </w:rPr>
        <w:t>f</w:t>
      </w:r>
      <w:r w:rsidR="00852C8E" w:rsidRPr="007F32A3">
        <w:rPr>
          <w:rFonts w:ascii="Times New Roman" w:hAnsi="Times New Roman" w:cs="Times New Roman"/>
          <w:kern w:val="0"/>
          <w:szCs w:val="24"/>
        </w:rPr>
        <w:t xml:space="preserve"> the index.</w:t>
      </w:r>
    </w:p>
    <w:p w:rsidR="00AE3D06" w:rsidRPr="007F32A3" w:rsidRDefault="00AE3D06" w:rsidP="0061290E">
      <w:pPr>
        <w:pStyle w:val="2"/>
        <w:snapToGrid w:val="0"/>
        <w:spacing w:beforeLines="50" w:before="180" w:after="50"/>
        <w:jc w:val="both"/>
        <w:rPr>
          <w:rFonts w:eastAsia="標楷體" w:cs="Times New Roman"/>
          <w:dstrike/>
          <w:szCs w:val="24"/>
        </w:rPr>
      </w:pPr>
      <w:r w:rsidRPr="007F32A3">
        <w:rPr>
          <w:rFonts w:eastAsia="標楷體" w:cs="Times New Roman"/>
          <w:bCs w:val="0"/>
          <w:iCs/>
          <w:noProof w:val="0"/>
          <w:kern w:val="0"/>
          <w:szCs w:val="24"/>
        </w:rPr>
        <w:t>M</w:t>
      </w:r>
      <w:r w:rsidRPr="007F32A3">
        <w:rPr>
          <w:rFonts w:eastAsia="標楷體" w:cs="Times New Roman"/>
          <w:szCs w:val="24"/>
        </w:rPr>
        <w:t xml:space="preserve">easures of </w:t>
      </w:r>
      <w:r w:rsidR="009976C9" w:rsidRPr="007F32A3">
        <w:rPr>
          <w:rFonts w:eastAsia="標楷體" w:cs="Times New Roman"/>
          <w:szCs w:val="24"/>
        </w:rPr>
        <w:t xml:space="preserve">auditor </w:t>
      </w:r>
      <w:r w:rsidRPr="007F32A3">
        <w:rPr>
          <w:rFonts w:eastAsia="標楷體" w:cs="Times New Roman"/>
          <w:szCs w:val="24"/>
        </w:rPr>
        <w:t>industry specialization</w:t>
      </w:r>
    </w:p>
    <w:p w:rsidR="00AE3D06" w:rsidRPr="007F32A3" w:rsidRDefault="00AE3D06" w:rsidP="0061290E">
      <w:pPr>
        <w:autoSpaceDE w:val="0"/>
        <w:autoSpaceDN w:val="0"/>
        <w:adjustRightInd w:val="0"/>
        <w:snapToGrid w:val="0"/>
        <w:spacing w:before="50" w:after="50" w:line="480" w:lineRule="auto"/>
        <w:ind w:firstLineChars="200" w:firstLine="480"/>
        <w:jc w:val="both"/>
        <w:rPr>
          <w:rFonts w:ascii="Times New Roman" w:eastAsia="標楷體" w:hAnsi="Times New Roman" w:cs="Times New Roman"/>
          <w:kern w:val="0"/>
        </w:rPr>
      </w:pPr>
      <w:r w:rsidRPr="007F32A3">
        <w:rPr>
          <w:rFonts w:ascii="Times New Roman" w:eastAsia="標楷體" w:hAnsi="Times New Roman" w:cs="Times New Roman"/>
          <w:kern w:val="0"/>
        </w:rPr>
        <w:t xml:space="preserve">According to prior studies (e.g., Balsam et al. 2003; Carcello and Nagy 2004; Krishnan 2003; Cenker and Nagy 2008; Romanus et al. 2008; Chin and Chi 2009; </w:t>
      </w:r>
      <w:r w:rsidRPr="007F32A3">
        <w:rPr>
          <w:rFonts w:ascii="Times New Roman" w:hAnsi="Times New Roman" w:cs="Times New Roman"/>
          <w:kern w:val="0"/>
        </w:rPr>
        <w:t>Mascarenhas, Cahan, and Naiker</w:t>
      </w:r>
      <w:r w:rsidRPr="007F32A3">
        <w:rPr>
          <w:rFonts w:ascii="Times New Roman" w:eastAsia="標楷體" w:hAnsi="Times New Roman" w:cs="Times New Roman"/>
          <w:kern w:val="0"/>
        </w:rPr>
        <w:t xml:space="preserve"> 2010), we will use an audit partner’s market share as a proxy for the audit partner’s industry specialization. Furthermore, among definitions of market share, we will use their client’s sales to measure the market share</w:t>
      </w:r>
      <w:r w:rsidR="009976C9" w:rsidRPr="007F32A3">
        <w:rPr>
          <w:rFonts w:ascii="Times New Roman" w:eastAsia="標楷體" w:hAnsi="Times New Roman" w:cs="Times New Roman"/>
          <w:kern w:val="0"/>
        </w:rPr>
        <w:t xml:space="preserve"> of audit partners</w:t>
      </w:r>
      <w:r w:rsidRPr="007F32A3">
        <w:rPr>
          <w:rFonts w:ascii="Times New Roman" w:eastAsia="標楷體" w:hAnsi="Times New Roman" w:cs="Times New Roman"/>
          <w:kern w:val="0"/>
        </w:rPr>
        <w:t xml:space="preserve"> since it has been used most often in prior studies</w:t>
      </w:r>
      <w:r w:rsidRPr="007F32A3">
        <w:rPr>
          <w:rStyle w:val="a5"/>
          <w:rFonts w:ascii="Times New Roman" w:hAnsi="Times New Roman" w:cs="Times New Roman"/>
        </w:rPr>
        <w:footnoteReference w:id="4"/>
      </w:r>
      <w:r w:rsidRPr="007F32A3">
        <w:rPr>
          <w:rFonts w:ascii="Times New Roman" w:eastAsia="標楷體" w:hAnsi="Times New Roman" w:cs="Times New Roman"/>
          <w:kern w:val="0"/>
        </w:rPr>
        <w:t xml:space="preserve">. </w:t>
      </w:r>
    </w:p>
    <w:p w:rsidR="00AE3D06" w:rsidRPr="007F32A3" w:rsidRDefault="00AE3D06" w:rsidP="0061290E">
      <w:pPr>
        <w:autoSpaceDE w:val="0"/>
        <w:autoSpaceDN w:val="0"/>
        <w:adjustRightInd w:val="0"/>
        <w:snapToGrid w:val="0"/>
        <w:spacing w:before="50" w:after="50" w:line="480" w:lineRule="auto"/>
        <w:ind w:firstLineChars="200" w:firstLine="480"/>
        <w:jc w:val="both"/>
        <w:rPr>
          <w:rFonts w:ascii="Times New Roman" w:eastAsia="標楷體" w:hAnsi="Times New Roman" w:cs="Times New Roman"/>
          <w:kern w:val="0"/>
        </w:rPr>
      </w:pPr>
      <w:r w:rsidRPr="007F32A3">
        <w:rPr>
          <w:rFonts w:ascii="Times New Roman" w:eastAsia="標楷體" w:hAnsi="Times New Roman" w:cs="Times New Roman"/>
          <w:kern w:val="0"/>
        </w:rPr>
        <w:t>Since the audit reports of public companies in Taiwan must disclose the names of audit partners, we can measure the specialization of both a specific audit partner. We measure the specialization of an audit partner (</w:t>
      </w:r>
      <w:r w:rsidRPr="007F32A3">
        <w:rPr>
          <w:rFonts w:ascii="Times New Roman" w:eastAsia="標楷體" w:hAnsi="Times New Roman" w:cs="Times New Roman"/>
          <w:i/>
          <w:kern w:val="0"/>
        </w:rPr>
        <w:t>i</w:t>
      </w:r>
      <w:r w:rsidRPr="007F32A3">
        <w:rPr>
          <w:rFonts w:ascii="Times New Roman" w:eastAsia="標楷體" w:hAnsi="Times New Roman" w:cs="Times New Roman"/>
          <w:kern w:val="0"/>
        </w:rPr>
        <w:t>) in a specific industry (</w:t>
      </w:r>
      <w:r w:rsidRPr="007F32A3">
        <w:rPr>
          <w:rFonts w:ascii="Times New Roman" w:eastAsia="標楷體" w:hAnsi="Times New Roman" w:cs="Times New Roman"/>
          <w:i/>
          <w:kern w:val="0"/>
        </w:rPr>
        <w:t>k</w:t>
      </w:r>
      <w:r w:rsidRPr="007F32A3">
        <w:rPr>
          <w:rFonts w:ascii="Times New Roman" w:eastAsia="標楷體" w:hAnsi="Times New Roman" w:cs="Times New Roman"/>
          <w:kern w:val="0"/>
        </w:rPr>
        <w:t xml:space="preserve">) year as: </w:t>
      </w:r>
    </w:p>
    <w:p w:rsidR="00AE3D06" w:rsidRPr="007F32A3" w:rsidRDefault="00AE3D06" w:rsidP="00FD5589">
      <w:pPr>
        <w:autoSpaceDE w:val="0"/>
        <w:autoSpaceDN w:val="0"/>
        <w:adjustRightInd w:val="0"/>
        <w:snapToGrid w:val="0"/>
        <w:spacing w:before="50" w:after="50" w:line="480" w:lineRule="auto"/>
        <w:jc w:val="center"/>
        <w:rPr>
          <w:rFonts w:ascii="Times New Roman" w:eastAsia="標楷體" w:hAnsi="Times New Roman" w:cs="Times New Roman"/>
          <w:kern w:val="0"/>
        </w:rPr>
      </w:pPr>
      <w:r w:rsidRPr="007F32A3">
        <w:rPr>
          <w:rFonts w:ascii="Times New Roman" w:eastAsia="標楷體" w:hAnsi="Times New Roman" w:cs="Times New Roman"/>
          <w:kern w:val="0"/>
          <w:position w:val="-64"/>
        </w:rPr>
        <w:object w:dxaOrig="38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68.9pt" o:ole="">
            <v:imagedata r:id="rId8" o:title=""/>
          </v:shape>
          <o:OLEObject Type="Embed" ProgID="Equation.3" ShapeID="_x0000_i1025" DrawAspect="Content" ObjectID="_1684838674" r:id="rId9"/>
        </w:object>
      </w:r>
      <w:r w:rsidRPr="007F32A3">
        <w:rPr>
          <w:rFonts w:ascii="Times New Roman" w:eastAsia="標楷體" w:hAnsi="Times New Roman" w:cs="Times New Roman"/>
          <w:kern w:val="0"/>
        </w:rPr>
        <w:t xml:space="preserve">  … (</w:t>
      </w:r>
      <w:r w:rsidRPr="007F32A3">
        <w:rPr>
          <w:rFonts w:ascii="Times New Roman" w:eastAsia="標楷體" w:hAnsi="Times New Roman" w:cs="Times New Roman"/>
          <w:iCs/>
          <w:kern w:val="0"/>
        </w:rPr>
        <w:t>1</w:t>
      </w:r>
      <w:r w:rsidRPr="007F32A3">
        <w:rPr>
          <w:rFonts w:ascii="Times New Roman" w:eastAsia="標楷體" w:hAnsi="Times New Roman" w:cs="Times New Roman"/>
          <w:kern w:val="0"/>
        </w:rPr>
        <w:t>)</w:t>
      </w:r>
    </w:p>
    <w:p w:rsidR="00AE3D06" w:rsidRPr="007F32A3" w:rsidRDefault="00AE3D06" w:rsidP="0061290E">
      <w:pPr>
        <w:autoSpaceDE w:val="0"/>
        <w:autoSpaceDN w:val="0"/>
        <w:adjustRightInd w:val="0"/>
        <w:snapToGrid w:val="0"/>
        <w:spacing w:beforeLines="50" w:before="180" w:afterLines="50" w:after="180" w:line="480" w:lineRule="auto"/>
        <w:jc w:val="both"/>
        <w:rPr>
          <w:rFonts w:ascii="Times New Roman" w:eastAsia="標楷體" w:hAnsi="Times New Roman" w:cs="Times New Roman"/>
          <w:kern w:val="0"/>
        </w:rPr>
      </w:pPr>
      <w:r w:rsidRPr="007F32A3">
        <w:rPr>
          <w:rFonts w:ascii="Times New Roman" w:eastAsia="標楷體" w:hAnsi="Times New Roman" w:cs="Times New Roman"/>
          <w:kern w:val="0"/>
        </w:rPr>
        <w:t>where SALE denotes clients’ sales revenue, and the numerator is the sum of sales of all the audit partner</w:t>
      </w:r>
      <w:r w:rsidRPr="007F32A3">
        <w:rPr>
          <w:rFonts w:ascii="Times New Roman" w:eastAsia="標楷體" w:hAnsi="Times New Roman" w:cs="Times New Roman"/>
          <w:i/>
          <w:kern w:val="0"/>
        </w:rPr>
        <w:t xml:space="preserve"> i</w:t>
      </w:r>
      <w:r w:rsidRPr="007F32A3">
        <w:rPr>
          <w:rFonts w:ascii="Times New Roman" w:eastAsia="標楷體" w:hAnsi="Times New Roman" w:cs="Times New Roman"/>
          <w:kern w:val="0"/>
        </w:rPr>
        <w:t>’s clients (</w:t>
      </w:r>
      <w:r w:rsidRPr="007F32A3">
        <w:rPr>
          <w:rFonts w:ascii="Times New Roman" w:eastAsia="標楷體" w:hAnsi="Times New Roman" w:cs="Times New Roman"/>
          <w:i/>
          <w:kern w:val="0"/>
        </w:rPr>
        <w:t>j</w:t>
      </w:r>
      <w:r w:rsidRPr="007F32A3">
        <w:rPr>
          <w:rFonts w:ascii="Times New Roman" w:eastAsia="標楷體" w:hAnsi="Times New Roman" w:cs="Times New Roman"/>
          <w:kern w:val="0"/>
        </w:rPr>
        <w:t>) in industry</w:t>
      </w:r>
      <w:r w:rsidRPr="007F32A3">
        <w:rPr>
          <w:rFonts w:ascii="Times New Roman" w:eastAsia="標楷體" w:hAnsi="Times New Roman" w:cs="Times New Roman"/>
          <w:i/>
          <w:kern w:val="0"/>
        </w:rPr>
        <w:t xml:space="preserve"> k</w:t>
      </w:r>
      <w:r w:rsidRPr="007F32A3">
        <w:rPr>
          <w:rFonts w:ascii="Times New Roman" w:eastAsia="標楷體" w:hAnsi="Times New Roman" w:cs="Times New Roman"/>
          <w:kern w:val="0"/>
        </w:rPr>
        <w:t>. The denominator in equation (</w:t>
      </w:r>
      <w:r w:rsidRPr="007F32A3">
        <w:rPr>
          <w:rFonts w:ascii="Times New Roman" w:eastAsia="標楷體" w:hAnsi="Times New Roman" w:cs="Times New Roman"/>
          <w:iCs/>
          <w:kern w:val="0"/>
        </w:rPr>
        <w:t>1</w:t>
      </w:r>
      <w:r w:rsidRPr="007F32A3">
        <w:rPr>
          <w:rFonts w:ascii="Times New Roman" w:eastAsia="標楷體" w:hAnsi="Times New Roman" w:cs="Times New Roman"/>
          <w:kern w:val="0"/>
        </w:rPr>
        <w:t>) is the total sales of industry k. Then we identify the audit parts that have largest t</w:t>
      </w:r>
      <w:r w:rsidR="001B3952" w:rsidRPr="007F32A3">
        <w:rPr>
          <w:rFonts w:ascii="Times New Roman" w:eastAsia="標楷體" w:hAnsi="Times New Roman" w:cs="Times New Roman"/>
          <w:kern w:val="0"/>
        </w:rPr>
        <w:t>wo</w:t>
      </w:r>
      <w:r w:rsidRPr="007F32A3">
        <w:rPr>
          <w:rFonts w:ascii="Times New Roman" w:eastAsia="標楷體" w:hAnsi="Times New Roman" w:cs="Times New Roman"/>
          <w:kern w:val="0"/>
        </w:rPr>
        <w:t xml:space="preserve"> market share</w:t>
      </w:r>
      <w:r w:rsidRPr="007F32A3">
        <w:rPr>
          <w:rStyle w:val="a5"/>
          <w:rFonts w:ascii="Times New Roman" w:eastAsia="標楷體" w:hAnsi="Times New Roman" w:cs="Times New Roman"/>
          <w:kern w:val="0"/>
        </w:rPr>
        <w:footnoteReference w:id="5"/>
      </w:r>
      <w:r w:rsidRPr="007F32A3">
        <w:rPr>
          <w:rFonts w:ascii="Times New Roman" w:eastAsia="標楷體" w:hAnsi="Times New Roman" w:cs="Times New Roman"/>
          <w:kern w:val="0"/>
        </w:rPr>
        <w:t xml:space="preserve"> in an industry</w:t>
      </w:r>
      <w:r w:rsidRPr="007F32A3">
        <w:rPr>
          <w:rFonts w:ascii="Times New Roman" w:eastAsia="標楷體" w:hAnsi="Times New Roman" w:cs="Times New Roman"/>
          <w:i/>
          <w:iCs/>
          <w:kern w:val="0"/>
        </w:rPr>
        <w:t xml:space="preserve"> </w:t>
      </w:r>
      <w:r w:rsidRPr="007F32A3">
        <w:rPr>
          <w:rFonts w:ascii="Times New Roman" w:eastAsia="標楷體" w:hAnsi="Times New Roman" w:cs="Times New Roman"/>
          <w:kern w:val="0"/>
        </w:rPr>
        <w:t xml:space="preserve">as specialist audit partners and construct an indicator variable that equals one if the audit partner of a company is an industry specialist, and zero otherwise. </w:t>
      </w:r>
    </w:p>
    <w:p w:rsidR="00AE3D06" w:rsidRPr="007F32A3" w:rsidRDefault="00AE3D06" w:rsidP="0061290E">
      <w:pPr>
        <w:autoSpaceDE w:val="0"/>
        <w:autoSpaceDN w:val="0"/>
        <w:adjustRightInd w:val="0"/>
        <w:snapToGrid w:val="0"/>
        <w:spacing w:beforeLines="50" w:before="180" w:afterLines="50" w:after="180" w:line="480" w:lineRule="auto"/>
        <w:ind w:firstLineChars="200" w:firstLine="480"/>
        <w:jc w:val="both"/>
        <w:rPr>
          <w:rFonts w:ascii="Times New Roman" w:eastAsia="標楷體" w:hAnsi="Times New Roman" w:cs="Times New Roman"/>
          <w:b/>
          <w:bCs/>
          <w:iCs/>
          <w:kern w:val="0"/>
        </w:rPr>
      </w:pPr>
      <w:r w:rsidRPr="007F32A3">
        <w:rPr>
          <w:rFonts w:ascii="Times New Roman" w:eastAsia="標楷體" w:hAnsi="Times New Roman" w:cs="Times New Roman"/>
          <w:kern w:val="0"/>
        </w:rPr>
        <w:t xml:space="preserve">Moreover, while </w:t>
      </w:r>
      <w:r w:rsidRPr="007F32A3">
        <w:rPr>
          <w:rFonts w:ascii="Times New Roman" w:eastAsia="標楷體" w:hAnsi="Times New Roman" w:cs="Times New Roman"/>
        </w:rPr>
        <w:t>the requirement for dual signatures</w:t>
      </w:r>
      <w:r w:rsidRPr="007F32A3">
        <w:rPr>
          <w:rStyle w:val="a5"/>
          <w:rFonts w:ascii="Times New Roman" w:eastAsia="標楷體" w:hAnsi="Times New Roman" w:cs="Times New Roman"/>
          <w:kern w:val="0"/>
        </w:rPr>
        <w:footnoteReference w:id="6"/>
      </w:r>
      <w:r w:rsidRPr="007F32A3">
        <w:rPr>
          <w:rFonts w:ascii="Times New Roman" w:eastAsia="標楷體" w:hAnsi="Times New Roman" w:cs="Times New Roman"/>
        </w:rPr>
        <w:t xml:space="preserve"> in Taiwan raises a measurement issue concerning the identification of individual specialists, we believe that the specialist of any single audit </w:t>
      </w:r>
      <w:r w:rsidRPr="007F32A3">
        <w:rPr>
          <w:rFonts w:ascii="Times New Roman" w:eastAsia="標楷體" w:hAnsi="Times New Roman" w:cs="Times New Roman"/>
        </w:rPr>
        <w:lastRenderedPageBreak/>
        <w:t>partner can be share to the entire audit team.</w:t>
      </w:r>
    </w:p>
    <w:p w:rsidR="00AE3D06" w:rsidRPr="007F32A3" w:rsidRDefault="00AE3D06" w:rsidP="0061290E">
      <w:pPr>
        <w:snapToGrid w:val="0"/>
        <w:spacing w:beforeLines="50" w:before="180" w:afterLines="50" w:after="180" w:line="480" w:lineRule="auto"/>
        <w:jc w:val="both"/>
        <w:rPr>
          <w:rFonts w:ascii="Times New Roman" w:eastAsia="標楷體" w:hAnsi="Times New Roman" w:cs="Times New Roman"/>
          <w:b/>
          <w:bCs/>
          <w:noProof/>
        </w:rPr>
      </w:pPr>
      <w:r w:rsidRPr="007F32A3">
        <w:rPr>
          <w:rFonts w:ascii="Times New Roman" w:eastAsia="標楷體" w:hAnsi="Times New Roman" w:cs="Times New Roman"/>
          <w:b/>
          <w:bCs/>
          <w:noProof/>
        </w:rPr>
        <w:t>Empirical Model</w:t>
      </w:r>
    </w:p>
    <w:p w:rsidR="00AE3D06" w:rsidRPr="007F32A3" w:rsidRDefault="00215E11" w:rsidP="00FD5589">
      <w:pPr>
        <w:snapToGrid w:val="0"/>
        <w:spacing w:beforeLines="50" w:before="180" w:afterLines="50" w:after="180" w:line="480" w:lineRule="auto"/>
        <w:ind w:firstLineChars="200" w:firstLine="480"/>
        <w:jc w:val="both"/>
        <w:rPr>
          <w:rFonts w:ascii="Times New Roman" w:eastAsia="標楷體" w:hAnsi="Times New Roman" w:cs="Times New Roman"/>
          <w:bCs/>
          <w:kern w:val="0"/>
          <w:szCs w:val="24"/>
        </w:rPr>
      </w:pPr>
      <w:r w:rsidRPr="007F32A3">
        <w:rPr>
          <w:rFonts w:ascii="Times New Roman" w:eastAsia="標楷體" w:hAnsi="Times New Roman" w:cs="Times New Roman"/>
          <w:bCs/>
          <w:kern w:val="0"/>
          <w:szCs w:val="24"/>
        </w:rPr>
        <w:t>To examine the hypothesi</w:t>
      </w:r>
      <w:r w:rsidR="00AE3D06" w:rsidRPr="007F32A3">
        <w:rPr>
          <w:rFonts w:ascii="Times New Roman" w:eastAsia="標楷體" w:hAnsi="Times New Roman" w:cs="Times New Roman"/>
          <w:bCs/>
          <w:kern w:val="0"/>
          <w:szCs w:val="24"/>
        </w:rPr>
        <w:t>s, this study provides following regression to test the association between auditor industry specialization and disclosure quality of KAM:</w:t>
      </w:r>
      <w:r w:rsidR="00FD5589" w:rsidRPr="007F32A3">
        <w:rPr>
          <w:rFonts w:ascii="Times New Roman" w:eastAsia="標楷體" w:hAnsi="Times New Roman" w:cs="Times New Roman"/>
          <w:bCs/>
          <w:kern w:val="0"/>
          <w:szCs w:val="24"/>
        </w:rPr>
        <w:t xml:space="preserve"> </w:t>
      </w:r>
    </w:p>
    <w:p w:rsidR="009976C9" w:rsidRPr="007F32A3" w:rsidRDefault="009976C9" w:rsidP="00FD5589">
      <w:pPr>
        <w:snapToGrid w:val="0"/>
        <w:spacing w:beforeLines="50" w:before="180" w:afterLines="50" w:after="180" w:line="480" w:lineRule="auto"/>
        <w:ind w:firstLineChars="200" w:firstLine="480"/>
        <w:jc w:val="both"/>
        <w:rPr>
          <w:rFonts w:ascii="Times New Roman" w:eastAsia="標楷體" w:hAnsi="Times New Roman" w:cs="Times New Roman"/>
          <w:bCs/>
          <w:kern w:val="0"/>
          <w:szCs w:val="24"/>
        </w:rPr>
      </w:pPr>
    </w:p>
    <w:p w:rsidR="00AE3D06" w:rsidRPr="007F32A3" w:rsidRDefault="00215E11" w:rsidP="00FD5589">
      <w:pPr>
        <w:snapToGrid w:val="0"/>
        <w:spacing w:before="50" w:after="50" w:line="480" w:lineRule="auto"/>
        <w:jc w:val="center"/>
        <w:rPr>
          <w:rFonts w:ascii="Times New Roman" w:eastAsia="標楷體" w:hAnsi="Times New Roman" w:cs="Times New Roman"/>
          <w:kern w:val="0"/>
          <w:szCs w:val="24"/>
        </w:rPr>
      </w:pPr>
      <w:r w:rsidRPr="007F32A3">
        <w:rPr>
          <w:rFonts w:ascii="Times New Roman" w:hAnsi="Times New Roman" w:cs="Times New Roman"/>
          <w:kern w:val="0"/>
          <w:position w:val="-12"/>
          <w:szCs w:val="24"/>
        </w:rPr>
        <w:object w:dxaOrig="7820" w:dyaOrig="360">
          <v:shape id="_x0000_i1026" type="#_x0000_t75" style="width:372.35pt;height:17.25pt" o:ole="">
            <v:imagedata r:id="rId10" o:title=""/>
          </v:shape>
          <o:OLEObject Type="Embed" ProgID="Equation.3" ShapeID="_x0000_i1026" DrawAspect="Content" ObjectID="_1684838675" r:id="rId11"/>
        </w:object>
      </w:r>
      <w:r w:rsidRPr="007F32A3">
        <w:rPr>
          <w:rFonts w:ascii="Times New Roman" w:hAnsi="Times New Roman" w:cs="Times New Roman"/>
          <w:kern w:val="0"/>
          <w:szCs w:val="24"/>
        </w:rPr>
        <w:t xml:space="preserve">　　</w:t>
      </w:r>
      <w:r w:rsidRPr="007F32A3">
        <w:rPr>
          <w:rFonts w:ascii="Times New Roman" w:hAnsi="Times New Roman" w:cs="Times New Roman"/>
          <w:kern w:val="0"/>
          <w:position w:val="-12"/>
          <w:szCs w:val="24"/>
        </w:rPr>
        <w:object w:dxaOrig="6759" w:dyaOrig="360">
          <v:shape id="_x0000_i1027" type="#_x0000_t75" style="width:331.75pt;height:18.1pt" o:ole="">
            <v:imagedata r:id="rId12" o:title=""/>
          </v:shape>
          <o:OLEObject Type="Embed" ProgID="Equation.3" ShapeID="_x0000_i1027" DrawAspect="Content" ObjectID="_1684838676" r:id="rId13"/>
        </w:object>
      </w:r>
      <w:r w:rsidRPr="007F32A3">
        <w:rPr>
          <w:rFonts w:ascii="Times New Roman" w:hAnsi="Times New Roman" w:cs="Times New Roman"/>
          <w:kern w:val="0"/>
          <w:szCs w:val="24"/>
        </w:rPr>
        <w:t xml:space="preserve">  </w:t>
      </w:r>
      <w:r w:rsidR="00AE3D06" w:rsidRPr="007F32A3">
        <w:rPr>
          <w:rFonts w:ascii="Times New Roman" w:eastAsia="標楷體" w:hAnsi="Times New Roman" w:cs="Times New Roman"/>
          <w:kern w:val="0"/>
          <w:szCs w:val="24"/>
        </w:rPr>
        <w:t>… (</w:t>
      </w:r>
      <w:r w:rsidR="001B3952" w:rsidRPr="007F32A3">
        <w:rPr>
          <w:rFonts w:ascii="Times New Roman" w:eastAsia="標楷體" w:hAnsi="Times New Roman" w:cs="Times New Roman"/>
          <w:kern w:val="0"/>
          <w:szCs w:val="24"/>
        </w:rPr>
        <w:t>2</w:t>
      </w:r>
      <w:r w:rsidR="00AE3D06" w:rsidRPr="007F32A3">
        <w:rPr>
          <w:rFonts w:ascii="Times New Roman" w:eastAsia="標楷體" w:hAnsi="Times New Roman" w:cs="Times New Roman"/>
          <w:kern w:val="0"/>
          <w:szCs w:val="24"/>
        </w:rPr>
        <w:t>)</w:t>
      </w:r>
    </w:p>
    <w:p w:rsidR="00AE3D06" w:rsidRPr="007F32A3" w:rsidRDefault="00AE3D06" w:rsidP="0061290E">
      <w:pPr>
        <w:autoSpaceDE w:val="0"/>
        <w:autoSpaceDN w:val="0"/>
        <w:adjustRightInd w:val="0"/>
        <w:snapToGrid w:val="0"/>
        <w:spacing w:beforeLines="50" w:before="180" w:afterLines="50" w:after="180" w:line="480" w:lineRule="auto"/>
        <w:jc w:val="both"/>
        <w:rPr>
          <w:rFonts w:ascii="Times New Roman" w:hAnsi="Times New Roman" w:cs="Times New Roman"/>
          <w:kern w:val="0"/>
          <w:szCs w:val="24"/>
        </w:rPr>
      </w:pPr>
      <w:r w:rsidRPr="007F32A3">
        <w:rPr>
          <w:rFonts w:ascii="Times New Roman" w:hAnsi="Times New Roman" w:cs="Times New Roman"/>
          <w:kern w:val="0"/>
          <w:szCs w:val="24"/>
        </w:rPr>
        <w:t>where</w:t>
      </w:r>
    </w:p>
    <w:tbl>
      <w:tblPr>
        <w:tblStyle w:val="a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8078"/>
      </w:tblGrid>
      <w:tr w:rsidR="007F32A3" w:rsidRPr="007F32A3" w:rsidTr="009976C9">
        <w:trPr>
          <w:trHeight w:val="370"/>
        </w:trPr>
        <w:tc>
          <w:tcPr>
            <w:tcW w:w="1986" w:type="dxa"/>
          </w:tcPr>
          <w:p w:rsidR="00AE3D06" w:rsidRPr="007F32A3" w:rsidRDefault="00AE3D06" w:rsidP="00366C02">
            <w:pPr>
              <w:autoSpaceDE w:val="0"/>
              <w:autoSpaceDN w:val="0"/>
              <w:adjustRightInd w:val="0"/>
              <w:snapToGrid w:val="0"/>
              <w:spacing w:line="480" w:lineRule="auto"/>
              <w:jc w:val="right"/>
              <w:rPr>
                <w:i/>
                <w:iCs/>
                <w:sz w:val="24"/>
                <w:szCs w:val="24"/>
              </w:rPr>
            </w:pPr>
            <w:r w:rsidRPr="007F32A3">
              <w:rPr>
                <w:i/>
                <w:iCs/>
                <w:sz w:val="24"/>
                <w:szCs w:val="24"/>
              </w:rPr>
              <w:t>KAMDQ</w:t>
            </w:r>
          </w:p>
        </w:tc>
        <w:tc>
          <w:tcPr>
            <w:tcW w:w="8078" w:type="dxa"/>
          </w:tcPr>
          <w:p w:rsidR="00AE3D06" w:rsidRPr="007F32A3" w:rsidRDefault="00AE3D06" w:rsidP="00BB732A">
            <w:pPr>
              <w:autoSpaceDE w:val="0"/>
              <w:autoSpaceDN w:val="0"/>
              <w:adjustRightInd w:val="0"/>
              <w:snapToGrid w:val="0"/>
              <w:spacing w:line="480" w:lineRule="auto"/>
              <w:ind w:leftChars="-50" w:left="60" w:rightChars="-45" w:right="-108" w:hangingChars="75" w:hanging="180"/>
              <w:jc w:val="both"/>
              <w:rPr>
                <w:iCs/>
                <w:sz w:val="24"/>
                <w:szCs w:val="24"/>
              </w:rPr>
            </w:pPr>
            <w:r w:rsidRPr="007F32A3">
              <w:rPr>
                <w:iCs/>
                <w:sz w:val="24"/>
                <w:szCs w:val="24"/>
              </w:rPr>
              <w:t>=</w:t>
            </w:r>
            <w:r w:rsidRPr="007F32A3">
              <w:rPr>
                <w:sz w:val="24"/>
                <w:szCs w:val="24"/>
              </w:rPr>
              <w:t xml:space="preserve"> quality of KAM disclosure, which </w:t>
            </w:r>
            <w:r w:rsidR="00282E73" w:rsidRPr="007F32A3">
              <w:rPr>
                <w:sz w:val="24"/>
                <w:szCs w:val="24"/>
              </w:rPr>
              <w:t xml:space="preserve">measured by </w:t>
            </w:r>
            <w:r w:rsidRPr="007F32A3">
              <w:rPr>
                <w:sz w:val="24"/>
                <w:szCs w:val="24"/>
              </w:rPr>
              <w:t>a comprehensive index that captures the degree of the KAM disclosure content over a company for Hypothesis 2 (the detailed measurement method is discussed below).</w:t>
            </w:r>
          </w:p>
        </w:tc>
      </w:tr>
      <w:tr w:rsidR="007F32A3" w:rsidRPr="007F32A3" w:rsidTr="009976C9">
        <w:trPr>
          <w:trHeight w:val="370"/>
        </w:trPr>
        <w:tc>
          <w:tcPr>
            <w:tcW w:w="1986" w:type="dxa"/>
          </w:tcPr>
          <w:p w:rsidR="00AE3D06" w:rsidRPr="007F32A3" w:rsidRDefault="00AE3D06" w:rsidP="00366C02">
            <w:pPr>
              <w:autoSpaceDE w:val="0"/>
              <w:autoSpaceDN w:val="0"/>
              <w:adjustRightInd w:val="0"/>
              <w:snapToGrid w:val="0"/>
              <w:spacing w:line="480" w:lineRule="auto"/>
              <w:jc w:val="right"/>
              <w:rPr>
                <w:i/>
                <w:iCs/>
                <w:sz w:val="24"/>
                <w:szCs w:val="24"/>
              </w:rPr>
            </w:pPr>
            <w:r w:rsidRPr="007F32A3">
              <w:rPr>
                <w:i/>
                <w:iCs/>
                <w:sz w:val="24"/>
                <w:szCs w:val="24"/>
              </w:rPr>
              <w:t>SPE</w:t>
            </w:r>
          </w:p>
        </w:tc>
        <w:tc>
          <w:tcPr>
            <w:tcW w:w="8078" w:type="dxa"/>
          </w:tcPr>
          <w:p w:rsidR="00AE3D06" w:rsidRPr="007F32A3" w:rsidRDefault="00AE3D06" w:rsidP="00BB732A">
            <w:pPr>
              <w:autoSpaceDE w:val="0"/>
              <w:autoSpaceDN w:val="0"/>
              <w:adjustRightInd w:val="0"/>
              <w:snapToGrid w:val="0"/>
              <w:spacing w:line="480" w:lineRule="auto"/>
              <w:ind w:leftChars="-50" w:left="60" w:rightChars="-45" w:right="-108" w:hangingChars="75" w:hanging="180"/>
              <w:jc w:val="both"/>
              <w:rPr>
                <w:iCs/>
                <w:sz w:val="24"/>
                <w:szCs w:val="24"/>
              </w:rPr>
            </w:pPr>
            <w:r w:rsidRPr="007F32A3">
              <w:rPr>
                <w:iCs/>
                <w:sz w:val="24"/>
                <w:szCs w:val="24"/>
              </w:rPr>
              <w:t>= an indicator variable of industry specialist auditor which denote to 1 for a company that audited by an industry specialist auditor</w:t>
            </w:r>
            <w:r w:rsidRPr="007F32A3">
              <w:rPr>
                <w:rFonts w:eastAsia="Times-Roman"/>
                <w:sz w:val="24"/>
                <w:szCs w:val="24"/>
              </w:rPr>
              <w:t>, and 0 otherwise;</w:t>
            </w:r>
          </w:p>
        </w:tc>
      </w:tr>
      <w:tr w:rsidR="007F32A3" w:rsidRPr="007F32A3" w:rsidTr="009976C9">
        <w:trPr>
          <w:trHeight w:val="370"/>
        </w:trPr>
        <w:tc>
          <w:tcPr>
            <w:tcW w:w="1986" w:type="dxa"/>
          </w:tcPr>
          <w:p w:rsidR="00AE3D06" w:rsidRPr="007F32A3" w:rsidRDefault="00AE3D06" w:rsidP="00366C02">
            <w:pPr>
              <w:autoSpaceDE w:val="0"/>
              <w:autoSpaceDN w:val="0"/>
              <w:adjustRightInd w:val="0"/>
              <w:snapToGrid w:val="0"/>
              <w:spacing w:line="480" w:lineRule="auto"/>
              <w:jc w:val="right"/>
              <w:rPr>
                <w:i/>
                <w:iCs/>
                <w:sz w:val="24"/>
                <w:szCs w:val="24"/>
              </w:rPr>
            </w:pPr>
            <w:r w:rsidRPr="007F32A3">
              <w:rPr>
                <w:i/>
                <w:iCs/>
                <w:sz w:val="24"/>
                <w:szCs w:val="24"/>
              </w:rPr>
              <w:t>BIGN</w:t>
            </w:r>
          </w:p>
        </w:tc>
        <w:tc>
          <w:tcPr>
            <w:tcW w:w="8078" w:type="dxa"/>
          </w:tcPr>
          <w:p w:rsidR="00AE3D06" w:rsidRPr="007F32A3" w:rsidRDefault="00AE3D06" w:rsidP="00BB732A">
            <w:pPr>
              <w:autoSpaceDE w:val="0"/>
              <w:autoSpaceDN w:val="0"/>
              <w:adjustRightInd w:val="0"/>
              <w:snapToGrid w:val="0"/>
              <w:spacing w:line="480" w:lineRule="auto"/>
              <w:ind w:leftChars="-50" w:left="60" w:rightChars="-45" w:right="-108" w:hangingChars="75" w:hanging="180"/>
              <w:jc w:val="both"/>
              <w:rPr>
                <w:iCs/>
                <w:sz w:val="24"/>
                <w:szCs w:val="24"/>
              </w:rPr>
            </w:pPr>
            <w:r w:rsidRPr="007F32A3">
              <w:rPr>
                <w:sz w:val="24"/>
                <w:szCs w:val="24"/>
              </w:rPr>
              <w:t>=</w:t>
            </w:r>
            <w:r w:rsidRPr="007F32A3">
              <w:rPr>
                <w:rFonts w:eastAsia="Times-Roman"/>
                <w:sz w:val="24"/>
                <w:szCs w:val="24"/>
              </w:rPr>
              <w:t xml:space="preserve"> </w:t>
            </w:r>
            <w:r w:rsidRPr="007F32A3">
              <w:rPr>
                <w:iCs/>
                <w:sz w:val="24"/>
                <w:szCs w:val="24"/>
              </w:rPr>
              <w:t>an indicator variable of Big N which denote to 1 for a company that audited by a Big N firm</w:t>
            </w:r>
            <w:r w:rsidRPr="007F32A3">
              <w:rPr>
                <w:rFonts w:eastAsia="Times-Roman"/>
                <w:sz w:val="24"/>
                <w:szCs w:val="24"/>
              </w:rPr>
              <w:t>, and 0 otherwise;</w:t>
            </w:r>
          </w:p>
        </w:tc>
      </w:tr>
      <w:tr w:rsidR="007F32A3" w:rsidRPr="007F32A3" w:rsidTr="009976C9">
        <w:trPr>
          <w:trHeight w:val="370"/>
        </w:trPr>
        <w:tc>
          <w:tcPr>
            <w:tcW w:w="1986" w:type="dxa"/>
          </w:tcPr>
          <w:p w:rsidR="00AE3D06" w:rsidRPr="007F32A3" w:rsidRDefault="00215E11" w:rsidP="00366C02">
            <w:pPr>
              <w:autoSpaceDE w:val="0"/>
              <w:autoSpaceDN w:val="0"/>
              <w:adjustRightInd w:val="0"/>
              <w:snapToGrid w:val="0"/>
              <w:spacing w:line="480" w:lineRule="auto"/>
              <w:jc w:val="right"/>
              <w:rPr>
                <w:i/>
                <w:iCs/>
                <w:sz w:val="24"/>
                <w:szCs w:val="24"/>
              </w:rPr>
            </w:pPr>
            <w:r w:rsidRPr="007F32A3">
              <w:rPr>
                <w:i/>
                <w:iCs/>
                <w:sz w:val="24"/>
                <w:szCs w:val="24"/>
              </w:rPr>
              <w:t>CPATEN</w:t>
            </w:r>
          </w:p>
        </w:tc>
        <w:tc>
          <w:tcPr>
            <w:tcW w:w="8078" w:type="dxa"/>
          </w:tcPr>
          <w:p w:rsidR="00AE3D06" w:rsidRPr="007F32A3" w:rsidRDefault="00AE3D06" w:rsidP="00BB732A">
            <w:pPr>
              <w:autoSpaceDE w:val="0"/>
              <w:autoSpaceDN w:val="0"/>
              <w:adjustRightInd w:val="0"/>
              <w:snapToGrid w:val="0"/>
              <w:spacing w:line="480" w:lineRule="auto"/>
              <w:ind w:leftChars="-50" w:left="60" w:rightChars="-45" w:right="-108" w:hangingChars="75" w:hanging="180"/>
              <w:jc w:val="both"/>
              <w:rPr>
                <w:iCs/>
                <w:sz w:val="24"/>
                <w:szCs w:val="24"/>
              </w:rPr>
            </w:pPr>
            <w:r w:rsidRPr="007F32A3">
              <w:rPr>
                <w:iCs/>
                <w:sz w:val="24"/>
                <w:szCs w:val="24"/>
              </w:rPr>
              <w:t xml:space="preserve">= </w:t>
            </w:r>
            <w:r w:rsidR="008E31A1" w:rsidRPr="007F32A3">
              <w:rPr>
                <w:iCs/>
                <w:sz w:val="24"/>
                <w:szCs w:val="24"/>
              </w:rPr>
              <w:t>audit tenure of the audit partners which is measure by the longer continuous audit years for a company between audit partners;</w:t>
            </w:r>
          </w:p>
        </w:tc>
      </w:tr>
      <w:tr w:rsidR="007F32A3" w:rsidRPr="007F32A3" w:rsidTr="009976C9">
        <w:trPr>
          <w:trHeight w:val="370"/>
        </w:trPr>
        <w:tc>
          <w:tcPr>
            <w:tcW w:w="1986" w:type="dxa"/>
          </w:tcPr>
          <w:p w:rsidR="00215E11" w:rsidRPr="007F32A3" w:rsidRDefault="00215E11" w:rsidP="00366C02">
            <w:pPr>
              <w:autoSpaceDE w:val="0"/>
              <w:autoSpaceDN w:val="0"/>
              <w:adjustRightInd w:val="0"/>
              <w:snapToGrid w:val="0"/>
              <w:spacing w:line="480" w:lineRule="auto"/>
              <w:jc w:val="right"/>
              <w:rPr>
                <w:i/>
                <w:iCs/>
                <w:sz w:val="24"/>
                <w:szCs w:val="24"/>
              </w:rPr>
            </w:pPr>
            <w:r w:rsidRPr="007F32A3">
              <w:rPr>
                <w:i/>
                <w:iCs/>
                <w:sz w:val="24"/>
                <w:szCs w:val="24"/>
              </w:rPr>
              <w:t>CPAEXP</w:t>
            </w:r>
          </w:p>
        </w:tc>
        <w:tc>
          <w:tcPr>
            <w:tcW w:w="8078" w:type="dxa"/>
          </w:tcPr>
          <w:p w:rsidR="00215E11" w:rsidRPr="007F32A3" w:rsidRDefault="00215E11" w:rsidP="00BB732A">
            <w:pPr>
              <w:autoSpaceDE w:val="0"/>
              <w:autoSpaceDN w:val="0"/>
              <w:adjustRightInd w:val="0"/>
              <w:snapToGrid w:val="0"/>
              <w:spacing w:line="480" w:lineRule="auto"/>
              <w:ind w:leftChars="-50" w:left="60" w:rightChars="-45" w:right="-108" w:hangingChars="75" w:hanging="180"/>
              <w:jc w:val="both"/>
              <w:rPr>
                <w:iCs/>
                <w:sz w:val="24"/>
                <w:szCs w:val="24"/>
              </w:rPr>
            </w:pPr>
            <w:r w:rsidRPr="007F32A3">
              <w:rPr>
                <w:iCs/>
                <w:sz w:val="24"/>
                <w:szCs w:val="24"/>
              </w:rPr>
              <w:t>=</w:t>
            </w:r>
            <w:r w:rsidR="005819A8" w:rsidRPr="007F32A3">
              <w:rPr>
                <w:sz w:val="24"/>
                <w:szCs w:val="24"/>
              </w:rPr>
              <w:t xml:space="preserve"> </w:t>
            </w:r>
            <w:r w:rsidR="008E31A1" w:rsidRPr="007F32A3">
              <w:rPr>
                <w:sz w:val="24"/>
                <w:szCs w:val="24"/>
              </w:rPr>
              <w:t>listed companies audit experience of the audit partners which is measure by the longer continuous audit years for a company between audit partners;</w:t>
            </w:r>
          </w:p>
        </w:tc>
      </w:tr>
      <w:tr w:rsidR="007F32A3" w:rsidRPr="007F32A3" w:rsidTr="009976C9">
        <w:trPr>
          <w:trHeight w:val="370"/>
        </w:trPr>
        <w:tc>
          <w:tcPr>
            <w:tcW w:w="1986" w:type="dxa"/>
          </w:tcPr>
          <w:p w:rsidR="00215E11" w:rsidRPr="007F32A3" w:rsidRDefault="00215E11" w:rsidP="00366C02">
            <w:pPr>
              <w:autoSpaceDE w:val="0"/>
              <w:autoSpaceDN w:val="0"/>
              <w:adjustRightInd w:val="0"/>
              <w:snapToGrid w:val="0"/>
              <w:spacing w:line="480" w:lineRule="auto"/>
              <w:jc w:val="right"/>
              <w:rPr>
                <w:i/>
                <w:iCs/>
                <w:sz w:val="24"/>
                <w:szCs w:val="24"/>
              </w:rPr>
            </w:pPr>
            <w:r w:rsidRPr="007F32A3">
              <w:rPr>
                <w:i/>
                <w:iCs/>
                <w:sz w:val="24"/>
                <w:szCs w:val="24"/>
              </w:rPr>
              <w:t xml:space="preserve">SIZE </w:t>
            </w:r>
          </w:p>
        </w:tc>
        <w:tc>
          <w:tcPr>
            <w:tcW w:w="8078" w:type="dxa"/>
          </w:tcPr>
          <w:p w:rsidR="00215E11" w:rsidRPr="007F32A3" w:rsidRDefault="00215E11" w:rsidP="00BB732A">
            <w:pPr>
              <w:autoSpaceDE w:val="0"/>
              <w:autoSpaceDN w:val="0"/>
              <w:adjustRightInd w:val="0"/>
              <w:snapToGrid w:val="0"/>
              <w:spacing w:line="480" w:lineRule="auto"/>
              <w:ind w:leftChars="-50" w:left="60" w:rightChars="-45" w:right="-108" w:hangingChars="75" w:hanging="180"/>
              <w:jc w:val="both"/>
              <w:rPr>
                <w:iCs/>
                <w:sz w:val="24"/>
                <w:szCs w:val="24"/>
              </w:rPr>
            </w:pPr>
            <w:r w:rsidRPr="007F32A3">
              <w:rPr>
                <w:iCs/>
                <w:sz w:val="24"/>
                <w:szCs w:val="24"/>
              </w:rPr>
              <w:t xml:space="preserve">= </w:t>
            </w:r>
            <w:r w:rsidRPr="007F32A3">
              <w:rPr>
                <w:rFonts w:eastAsia="Times-Roman"/>
                <w:sz w:val="24"/>
                <w:szCs w:val="24"/>
              </w:rPr>
              <w:t>natural logarithm of the book value of total assets at year-end</w:t>
            </w:r>
            <w:r w:rsidRPr="007F32A3">
              <w:rPr>
                <w:sz w:val="24"/>
                <w:szCs w:val="24"/>
              </w:rPr>
              <w:t>;</w:t>
            </w:r>
          </w:p>
        </w:tc>
      </w:tr>
      <w:tr w:rsidR="007F32A3" w:rsidRPr="007F32A3" w:rsidTr="009976C9">
        <w:trPr>
          <w:trHeight w:val="406"/>
        </w:trPr>
        <w:tc>
          <w:tcPr>
            <w:tcW w:w="1986" w:type="dxa"/>
          </w:tcPr>
          <w:p w:rsidR="00AE3D06" w:rsidRPr="007F32A3" w:rsidRDefault="00AE3D06" w:rsidP="00366C02">
            <w:pPr>
              <w:autoSpaceDE w:val="0"/>
              <w:autoSpaceDN w:val="0"/>
              <w:adjustRightInd w:val="0"/>
              <w:snapToGrid w:val="0"/>
              <w:spacing w:line="480" w:lineRule="auto"/>
              <w:jc w:val="right"/>
              <w:rPr>
                <w:i/>
                <w:sz w:val="24"/>
                <w:szCs w:val="24"/>
              </w:rPr>
            </w:pPr>
            <w:r w:rsidRPr="007F32A3">
              <w:rPr>
                <w:i/>
                <w:sz w:val="24"/>
                <w:szCs w:val="24"/>
              </w:rPr>
              <w:t>CG</w:t>
            </w:r>
          </w:p>
        </w:tc>
        <w:tc>
          <w:tcPr>
            <w:tcW w:w="8078" w:type="dxa"/>
          </w:tcPr>
          <w:p w:rsidR="00AE3D06" w:rsidRPr="007F32A3" w:rsidRDefault="00AE3D06" w:rsidP="00BB732A">
            <w:pPr>
              <w:autoSpaceDE w:val="0"/>
              <w:autoSpaceDN w:val="0"/>
              <w:adjustRightInd w:val="0"/>
              <w:snapToGrid w:val="0"/>
              <w:spacing w:line="480" w:lineRule="auto"/>
              <w:ind w:leftChars="-50" w:left="60" w:rightChars="-45" w:right="-108" w:hangingChars="75" w:hanging="180"/>
              <w:jc w:val="both"/>
              <w:rPr>
                <w:sz w:val="24"/>
                <w:szCs w:val="24"/>
              </w:rPr>
            </w:pPr>
            <w:r w:rsidRPr="007F32A3">
              <w:rPr>
                <w:sz w:val="24"/>
                <w:szCs w:val="24"/>
              </w:rPr>
              <w:t>=</w:t>
            </w:r>
            <w:r w:rsidRPr="007F32A3">
              <w:rPr>
                <w:rFonts w:eastAsia="Palatino1-Roman"/>
                <w:sz w:val="24"/>
                <w:szCs w:val="24"/>
              </w:rPr>
              <w:t xml:space="preserve"> a </w:t>
            </w:r>
            <w:r w:rsidRPr="007F32A3">
              <w:rPr>
                <w:sz w:val="24"/>
                <w:szCs w:val="24"/>
              </w:rPr>
              <w:t xml:space="preserve">corporate governance index that captures the degree of the corporate governance circumstances over a company. The index is constructed based on </w:t>
            </w:r>
            <w:r w:rsidR="00282E73" w:rsidRPr="007F32A3">
              <w:rPr>
                <w:sz w:val="24"/>
                <w:szCs w:val="24"/>
              </w:rPr>
              <w:t xml:space="preserve">6 </w:t>
            </w:r>
            <w:r w:rsidRPr="007F32A3">
              <w:rPr>
                <w:sz w:val="24"/>
                <w:szCs w:val="24"/>
              </w:rPr>
              <w:t xml:space="preserve">corporate governance provisions, including board size, board share-holdings ratio, the </w:t>
            </w:r>
            <w:r w:rsidRPr="007F32A3">
              <w:rPr>
                <w:sz w:val="24"/>
                <w:szCs w:val="24"/>
              </w:rPr>
              <w:lastRenderedPageBreak/>
              <w:t>percentage of shares pledged to board members, the ratio of independent directors and supervisors, the ratio of family-controlled directors and supervisors, and institutional holdings ratio, where a high CG index indicates stronger governance. Thus, we code firms 1 (for strong governance) if the appointing firm’s CG index is beyond the sample median, and 0 otherwise.</w:t>
            </w:r>
          </w:p>
        </w:tc>
      </w:tr>
      <w:tr w:rsidR="007F32A3" w:rsidRPr="007F32A3" w:rsidTr="009976C9">
        <w:trPr>
          <w:trHeight w:val="406"/>
        </w:trPr>
        <w:tc>
          <w:tcPr>
            <w:tcW w:w="1986" w:type="dxa"/>
          </w:tcPr>
          <w:p w:rsidR="00215E11" w:rsidRPr="007F32A3" w:rsidRDefault="00215E11" w:rsidP="00366C02">
            <w:pPr>
              <w:autoSpaceDE w:val="0"/>
              <w:autoSpaceDN w:val="0"/>
              <w:adjustRightInd w:val="0"/>
              <w:snapToGrid w:val="0"/>
              <w:spacing w:line="480" w:lineRule="auto"/>
              <w:jc w:val="right"/>
              <w:rPr>
                <w:i/>
                <w:sz w:val="24"/>
                <w:szCs w:val="24"/>
              </w:rPr>
            </w:pPr>
            <w:r w:rsidRPr="007F32A3">
              <w:rPr>
                <w:i/>
                <w:sz w:val="24"/>
                <w:szCs w:val="24"/>
              </w:rPr>
              <w:lastRenderedPageBreak/>
              <w:t>COMPLEX</w:t>
            </w:r>
          </w:p>
        </w:tc>
        <w:tc>
          <w:tcPr>
            <w:tcW w:w="8078" w:type="dxa"/>
          </w:tcPr>
          <w:p w:rsidR="00215E11" w:rsidRPr="007F32A3" w:rsidRDefault="00215E11" w:rsidP="00BB732A">
            <w:pPr>
              <w:autoSpaceDE w:val="0"/>
              <w:autoSpaceDN w:val="0"/>
              <w:adjustRightInd w:val="0"/>
              <w:snapToGrid w:val="0"/>
              <w:spacing w:line="480" w:lineRule="auto"/>
              <w:ind w:leftChars="-50" w:left="60" w:rightChars="-45" w:right="-108" w:hangingChars="75" w:hanging="180"/>
              <w:jc w:val="both"/>
              <w:rPr>
                <w:sz w:val="24"/>
                <w:szCs w:val="24"/>
              </w:rPr>
            </w:pPr>
            <w:r w:rsidRPr="007F32A3">
              <w:rPr>
                <w:sz w:val="24"/>
                <w:szCs w:val="24"/>
              </w:rPr>
              <w:t>=</w:t>
            </w:r>
            <w:r w:rsidR="008E31A1" w:rsidRPr="007F32A3">
              <w:rPr>
                <w:sz w:val="24"/>
                <w:szCs w:val="24"/>
              </w:rPr>
              <w:t xml:space="preserve"> the operational complexity of audit clients, which measured by the ratio of accounts receivable and inventory to total assets</w:t>
            </w:r>
          </w:p>
        </w:tc>
      </w:tr>
      <w:tr w:rsidR="007F32A3" w:rsidRPr="007F32A3" w:rsidTr="009976C9">
        <w:trPr>
          <w:trHeight w:val="406"/>
        </w:trPr>
        <w:tc>
          <w:tcPr>
            <w:tcW w:w="1986" w:type="dxa"/>
          </w:tcPr>
          <w:p w:rsidR="00215E11" w:rsidRPr="007F32A3" w:rsidRDefault="00215E11" w:rsidP="00366C02">
            <w:pPr>
              <w:autoSpaceDE w:val="0"/>
              <w:autoSpaceDN w:val="0"/>
              <w:adjustRightInd w:val="0"/>
              <w:snapToGrid w:val="0"/>
              <w:spacing w:line="480" w:lineRule="auto"/>
              <w:jc w:val="right"/>
              <w:rPr>
                <w:i/>
                <w:sz w:val="24"/>
                <w:szCs w:val="24"/>
              </w:rPr>
            </w:pPr>
            <w:r w:rsidRPr="007F32A3">
              <w:rPr>
                <w:i/>
                <w:sz w:val="24"/>
                <w:szCs w:val="24"/>
              </w:rPr>
              <w:t>MB</w:t>
            </w:r>
          </w:p>
        </w:tc>
        <w:tc>
          <w:tcPr>
            <w:tcW w:w="8078" w:type="dxa"/>
          </w:tcPr>
          <w:p w:rsidR="00215E11" w:rsidRPr="007F32A3" w:rsidRDefault="00215E11" w:rsidP="00BB732A">
            <w:pPr>
              <w:autoSpaceDE w:val="0"/>
              <w:autoSpaceDN w:val="0"/>
              <w:adjustRightInd w:val="0"/>
              <w:snapToGrid w:val="0"/>
              <w:spacing w:line="480" w:lineRule="auto"/>
              <w:ind w:leftChars="-50" w:left="60" w:rightChars="-45" w:right="-108" w:hangingChars="75" w:hanging="180"/>
              <w:jc w:val="both"/>
              <w:rPr>
                <w:sz w:val="24"/>
                <w:szCs w:val="24"/>
              </w:rPr>
            </w:pPr>
            <w:r w:rsidRPr="007F32A3">
              <w:rPr>
                <w:sz w:val="24"/>
                <w:szCs w:val="24"/>
              </w:rPr>
              <w:t>=</w:t>
            </w:r>
            <w:r w:rsidR="005819A8" w:rsidRPr="007F32A3">
              <w:rPr>
                <w:sz w:val="24"/>
                <w:szCs w:val="24"/>
              </w:rPr>
              <w:t>market to book ratio.</w:t>
            </w:r>
          </w:p>
        </w:tc>
      </w:tr>
      <w:tr w:rsidR="007F32A3" w:rsidRPr="007F32A3" w:rsidTr="009976C9">
        <w:trPr>
          <w:trHeight w:val="351"/>
        </w:trPr>
        <w:tc>
          <w:tcPr>
            <w:tcW w:w="1986" w:type="dxa"/>
          </w:tcPr>
          <w:p w:rsidR="00AE3D06" w:rsidRPr="007F32A3" w:rsidRDefault="00AE3D06" w:rsidP="00366C02">
            <w:pPr>
              <w:autoSpaceDE w:val="0"/>
              <w:autoSpaceDN w:val="0"/>
              <w:adjustRightInd w:val="0"/>
              <w:snapToGrid w:val="0"/>
              <w:spacing w:line="480" w:lineRule="auto"/>
              <w:jc w:val="right"/>
              <w:rPr>
                <w:i/>
                <w:iCs/>
                <w:sz w:val="24"/>
                <w:szCs w:val="24"/>
              </w:rPr>
            </w:pPr>
            <w:r w:rsidRPr="007F32A3">
              <w:rPr>
                <w:i/>
                <w:iCs/>
                <w:sz w:val="24"/>
                <w:szCs w:val="24"/>
              </w:rPr>
              <w:t>LOSS</w:t>
            </w:r>
          </w:p>
        </w:tc>
        <w:tc>
          <w:tcPr>
            <w:tcW w:w="8078" w:type="dxa"/>
          </w:tcPr>
          <w:p w:rsidR="00AE3D06" w:rsidRPr="007F32A3" w:rsidRDefault="00AE3D06" w:rsidP="00BB732A">
            <w:pPr>
              <w:autoSpaceDE w:val="0"/>
              <w:autoSpaceDN w:val="0"/>
              <w:adjustRightInd w:val="0"/>
              <w:snapToGrid w:val="0"/>
              <w:spacing w:line="480" w:lineRule="auto"/>
              <w:ind w:leftChars="-50" w:left="60" w:rightChars="-45" w:right="-108" w:hangingChars="75" w:hanging="180"/>
              <w:jc w:val="both"/>
              <w:rPr>
                <w:iCs/>
                <w:sz w:val="24"/>
                <w:szCs w:val="24"/>
              </w:rPr>
            </w:pPr>
            <w:r w:rsidRPr="007F32A3">
              <w:rPr>
                <w:sz w:val="24"/>
                <w:szCs w:val="24"/>
              </w:rPr>
              <w:t>= indicator variable that denote to 1 for companies with negative income before extraordinary items;</w:t>
            </w:r>
          </w:p>
        </w:tc>
      </w:tr>
      <w:tr w:rsidR="007F32A3" w:rsidRPr="007F32A3" w:rsidTr="009976C9">
        <w:tc>
          <w:tcPr>
            <w:tcW w:w="1986" w:type="dxa"/>
          </w:tcPr>
          <w:p w:rsidR="00AE3D06" w:rsidRPr="007F32A3" w:rsidRDefault="00AE3D06" w:rsidP="00366C02">
            <w:pPr>
              <w:autoSpaceDE w:val="0"/>
              <w:autoSpaceDN w:val="0"/>
              <w:adjustRightInd w:val="0"/>
              <w:snapToGrid w:val="0"/>
              <w:spacing w:line="480" w:lineRule="auto"/>
              <w:jc w:val="right"/>
              <w:rPr>
                <w:i/>
                <w:iCs/>
                <w:sz w:val="24"/>
                <w:szCs w:val="24"/>
              </w:rPr>
            </w:pPr>
            <w:r w:rsidRPr="007F32A3">
              <w:rPr>
                <w:i/>
                <w:iCs/>
                <w:sz w:val="24"/>
                <w:szCs w:val="24"/>
              </w:rPr>
              <w:t>LEV</w:t>
            </w:r>
          </w:p>
        </w:tc>
        <w:tc>
          <w:tcPr>
            <w:tcW w:w="8078" w:type="dxa"/>
          </w:tcPr>
          <w:p w:rsidR="00AE3D06" w:rsidRPr="007F32A3" w:rsidRDefault="00AE3D06" w:rsidP="00BB732A">
            <w:pPr>
              <w:autoSpaceDE w:val="0"/>
              <w:autoSpaceDN w:val="0"/>
              <w:adjustRightInd w:val="0"/>
              <w:snapToGrid w:val="0"/>
              <w:spacing w:line="480" w:lineRule="auto"/>
              <w:ind w:leftChars="-50" w:left="-120" w:rightChars="-45" w:right="-108"/>
              <w:jc w:val="both"/>
              <w:rPr>
                <w:sz w:val="24"/>
                <w:szCs w:val="24"/>
              </w:rPr>
            </w:pPr>
            <w:r w:rsidRPr="007F32A3">
              <w:rPr>
                <w:sz w:val="24"/>
                <w:szCs w:val="24"/>
              </w:rPr>
              <w:t>= long-term debt divided by total assets.</w:t>
            </w:r>
          </w:p>
        </w:tc>
      </w:tr>
      <w:tr w:rsidR="007F32A3" w:rsidRPr="007F32A3" w:rsidTr="009976C9">
        <w:tc>
          <w:tcPr>
            <w:tcW w:w="1986" w:type="dxa"/>
          </w:tcPr>
          <w:p w:rsidR="00215E11" w:rsidRPr="007F32A3" w:rsidRDefault="00215E11" w:rsidP="00366C02">
            <w:pPr>
              <w:autoSpaceDE w:val="0"/>
              <w:autoSpaceDN w:val="0"/>
              <w:adjustRightInd w:val="0"/>
              <w:snapToGrid w:val="0"/>
              <w:spacing w:line="480" w:lineRule="auto"/>
              <w:ind w:leftChars="-50" w:left="-120"/>
              <w:jc w:val="right"/>
              <w:rPr>
                <w:i/>
                <w:iCs/>
                <w:sz w:val="24"/>
                <w:szCs w:val="24"/>
              </w:rPr>
            </w:pPr>
            <w:r w:rsidRPr="007F32A3">
              <w:rPr>
                <w:i/>
                <w:iCs/>
                <w:sz w:val="24"/>
                <w:szCs w:val="24"/>
              </w:rPr>
              <w:t>IndustryDummies</w:t>
            </w:r>
          </w:p>
        </w:tc>
        <w:tc>
          <w:tcPr>
            <w:tcW w:w="8078" w:type="dxa"/>
          </w:tcPr>
          <w:p w:rsidR="00215E11" w:rsidRPr="007F32A3" w:rsidRDefault="008E31A1" w:rsidP="00BB732A">
            <w:pPr>
              <w:autoSpaceDE w:val="0"/>
              <w:autoSpaceDN w:val="0"/>
              <w:adjustRightInd w:val="0"/>
              <w:snapToGrid w:val="0"/>
              <w:spacing w:line="480" w:lineRule="auto"/>
              <w:ind w:leftChars="-50" w:left="120" w:rightChars="-45" w:right="-108" w:hangingChars="100" w:hanging="240"/>
              <w:jc w:val="both"/>
              <w:rPr>
                <w:sz w:val="24"/>
                <w:szCs w:val="24"/>
              </w:rPr>
            </w:pPr>
            <w:r w:rsidRPr="007F32A3">
              <w:rPr>
                <w:sz w:val="24"/>
                <w:szCs w:val="24"/>
              </w:rPr>
              <w:t>=</w:t>
            </w:r>
            <w:r w:rsidRPr="007F32A3">
              <w:t xml:space="preserve"> </w:t>
            </w:r>
            <w:r w:rsidRPr="007F32A3">
              <w:rPr>
                <w:sz w:val="24"/>
                <w:szCs w:val="24"/>
              </w:rPr>
              <w:t>Dummy variables for the</w:t>
            </w:r>
            <w:r w:rsidR="007B3212" w:rsidRPr="007F32A3">
              <w:rPr>
                <w:sz w:val="24"/>
                <w:szCs w:val="24"/>
              </w:rPr>
              <w:t xml:space="preserve"> industries of sample companies</w:t>
            </w:r>
            <w:r w:rsidRPr="007F32A3">
              <w:rPr>
                <w:sz w:val="24"/>
                <w:szCs w:val="24"/>
              </w:rPr>
              <w:t>.</w:t>
            </w:r>
          </w:p>
        </w:tc>
      </w:tr>
    </w:tbl>
    <w:p w:rsidR="00300576" w:rsidRPr="007F32A3" w:rsidRDefault="00771D9D" w:rsidP="0061290E">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i/>
          <w:kern w:val="0"/>
          <w:szCs w:val="24"/>
        </w:rPr>
      </w:pPr>
      <w:r w:rsidRPr="007F32A3">
        <w:rPr>
          <w:rFonts w:ascii="Times New Roman" w:hAnsi="Times New Roman" w:cs="Times New Roman"/>
          <w:kern w:val="0"/>
          <w:szCs w:val="24"/>
        </w:rPr>
        <w:t>The main variable</w:t>
      </w:r>
      <w:r w:rsidR="00300576" w:rsidRPr="007F32A3">
        <w:rPr>
          <w:rFonts w:ascii="Times New Roman" w:hAnsi="Times New Roman" w:cs="Times New Roman"/>
          <w:kern w:val="0"/>
          <w:szCs w:val="24"/>
        </w:rPr>
        <w:t xml:space="preserve"> this study </w:t>
      </w:r>
      <w:r w:rsidR="00073FDB" w:rsidRPr="007F32A3">
        <w:rPr>
          <w:rFonts w:ascii="Times New Roman" w:hAnsi="Times New Roman" w:cs="Times New Roman"/>
          <w:kern w:val="0"/>
          <w:szCs w:val="24"/>
        </w:rPr>
        <w:t xml:space="preserve">interest </w:t>
      </w:r>
      <w:r w:rsidR="00300576" w:rsidRPr="007F32A3">
        <w:rPr>
          <w:rFonts w:ascii="Times New Roman" w:hAnsi="Times New Roman" w:cs="Times New Roman"/>
          <w:kern w:val="0"/>
          <w:szCs w:val="24"/>
        </w:rPr>
        <w:t>in</w:t>
      </w:r>
      <w:r w:rsidRPr="007F32A3">
        <w:rPr>
          <w:rFonts w:ascii="Times New Roman" w:hAnsi="Times New Roman" w:cs="Times New Roman"/>
          <w:kern w:val="0"/>
          <w:szCs w:val="24"/>
        </w:rPr>
        <w:t xml:space="preserve"> is </w:t>
      </w:r>
      <w:r w:rsidRPr="007F32A3">
        <w:rPr>
          <w:rFonts w:ascii="Times New Roman" w:hAnsi="Times New Roman" w:cs="Times New Roman"/>
          <w:i/>
          <w:kern w:val="0"/>
          <w:szCs w:val="24"/>
        </w:rPr>
        <w:t>SPE</w:t>
      </w:r>
      <w:r w:rsidRPr="007F32A3">
        <w:rPr>
          <w:rFonts w:ascii="Times New Roman" w:hAnsi="Times New Roman" w:cs="Times New Roman"/>
          <w:kern w:val="0"/>
          <w:szCs w:val="24"/>
        </w:rPr>
        <w:t>,</w:t>
      </w:r>
      <w:r w:rsidRPr="007F32A3">
        <w:rPr>
          <w:rFonts w:ascii="Times New Roman" w:hAnsi="Times New Roman" w:cs="Times New Roman"/>
          <w:iCs/>
          <w:szCs w:val="24"/>
        </w:rPr>
        <w:t xml:space="preserve"> the indicator variable of industry specialist auditors</w:t>
      </w:r>
      <w:r w:rsidR="00073FDB" w:rsidRPr="007F32A3">
        <w:rPr>
          <w:rFonts w:ascii="Times New Roman" w:hAnsi="Times New Roman" w:cs="Times New Roman"/>
          <w:iCs/>
          <w:szCs w:val="24"/>
        </w:rPr>
        <w:t>; further,</w:t>
      </w:r>
      <w:r w:rsidRPr="007F32A3">
        <w:rPr>
          <w:rFonts w:ascii="Times New Roman" w:hAnsi="Times New Roman" w:cs="Times New Roman"/>
          <w:iCs/>
          <w:szCs w:val="24"/>
        </w:rPr>
        <w:t xml:space="preserve"> </w:t>
      </w:r>
      <w:r w:rsidRPr="007F32A3">
        <w:rPr>
          <w:rFonts w:ascii="Times New Roman" w:hAnsi="Times New Roman" w:cs="Times New Roman"/>
          <w:szCs w:val="24"/>
        </w:rPr>
        <w:t>t</w:t>
      </w:r>
      <w:r w:rsidR="00300576" w:rsidRPr="007F32A3">
        <w:rPr>
          <w:rFonts w:ascii="Times New Roman" w:hAnsi="Times New Roman" w:cs="Times New Roman"/>
          <w:szCs w:val="24"/>
        </w:rPr>
        <w:t>his study expects</w:t>
      </w:r>
      <w:r w:rsidR="00290E95" w:rsidRPr="007F32A3">
        <w:rPr>
          <w:rFonts w:ascii="Times New Roman" w:hAnsi="Times New Roman" w:cs="Times New Roman"/>
          <w:noProof/>
          <w:position w:val="-10"/>
          <w:szCs w:val="24"/>
        </w:rPr>
        <w:object w:dxaOrig="279" w:dyaOrig="340">
          <v:shape id="_x0000_i1028" type="#_x0000_t75" alt="" style="width:12.8pt;height:15.9pt;mso-width-percent:0;mso-height-percent:0;mso-width-percent:0;mso-height-percent:0" o:ole="">
            <v:imagedata r:id="rId14" o:title=""/>
          </v:shape>
          <o:OLEObject Type="Embed" ProgID="Equation.3" ShapeID="_x0000_i1028" DrawAspect="Content" ObjectID="_1684838677" r:id="rId15"/>
        </w:object>
      </w:r>
      <w:r w:rsidR="00300576" w:rsidRPr="007F32A3">
        <w:rPr>
          <w:rFonts w:ascii="Times New Roman" w:hAnsi="Times New Roman" w:cs="Times New Roman"/>
          <w:szCs w:val="24"/>
        </w:rPr>
        <w:t>to be significant positive, which establish</w:t>
      </w:r>
      <w:r w:rsidR="00073FDB" w:rsidRPr="007F32A3">
        <w:rPr>
          <w:rFonts w:ascii="Times New Roman" w:hAnsi="Times New Roman" w:cs="Times New Roman"/>
          <w:szCs w:val="24"/>
        </w:rPr>
        <w:t>es</w:t>
      </w:r>
      <w:r w:rsidR="00300576" w:rsidRPr="007F32A3">
        <w:rPr>
          <w:rFonts w:ascii="Times New Roman" w:hAnsi="Times New Roman" w:cs="Times New Roman"/>
          <w:szCs w:val="24"/>
        </w:rPr>
        <w:t xml:space="preserve"> the hypothes</w:t>
      </w:r>
      <w:r w:rsidRPr="007F32A3">
        <w:rPr>
          <w:rFonts w:ascii="Times New Roman" w:hAnsi="Times New Roman" w:cs="Times New Roman"/>
          <w:szCs w:val="24"/>
        </w:rPr>
        <w:t>e</w:t>
      </w:r>
      <w:r w:rsidR="00300576" w:rsidRPr="007F32A3">
        <w:rPr>
          <w:rFonts w:ascii="Times New Roman" w:hAnsi="Times New Roman" w:cs="Times New Roman"/>
          <w:szCs w:val="24"/>
        </w:rPr>
        <w:t>s that</w:t>
      </w:r>
      <w:r w:rsidRPr="007F32A3">
        <w:rPr>
          <w:rFonts w:ascii="Times New Roman" w:hAnsi="Times New Roman" w:cs="Times New Roman"/>
          <w:szCs w:val="24"/>
        </w:rPr>
        <w:t>,</w:t>
      </w:r>
      <w:r w:rsidR="00300576" w:rsidRPr="007F32A3">
        <w:rPr>
          <w:rFonts w:ascii="Times New Roman" w:hAnsi="Times New Roman" w:cs="Times New Roman"/>
          <w:szCs w:val="24"/>
        </w:rPr>
        <w:t xml:space="preserve"> </w:t>
      </w:r>
      <w:r w:rsidRPr="007F32A3">
        <w:rPr>
          <w:rFonts w:ascii="Times New Roman" w:hAnsi="Times New Roman" w:cs="Times New Roman"/>
          <w:szCs w:val="24"/>
        </w:rPr>
        <w:t xml:space="preserve">compared </w:t>
      </w:r>
      <w:r w:rsidR="00073FDB" w:rsidRPr="007F32A3">
        <w:rPr>
          <w:rFonts w:ascii="Times New Roman" w:hAnsi="Times New Roman" w:cs="Times New Roman"/>
          <w:szCs w:val="24"/>
        </w:rPr>
        <w:t xml:space="preserve">with </w:t>
      </w:r>
      <w:r w:rsidRPr="007F32A3">
        <w:rPr>
          <w:rFonts w:ascii="Times New Roman" w:hAnsi="Times New Roman" w:cs="Times New Roman"/>
          <w:szCs w:val="24"/>
        </w:rPr>
        <w:t>the KAM of non</w:t>
      </w:r>
      <w:r w:rsidR="00E53D3D" w:rsidRPr="007F32A3">
        <w:rPr>
          <w:rFonts w:ascii="Times New Roman" w:hAnsi="Times New Roman" w:cs="Times New Roman"/>
          <w:szCs w:val="24"/>
        </w:rPr>
        <w:t>-</w:t>
      </w:r>
      <w:r w:rsidRPr="007F32A3">
        <w:rPr>
          <w:rFonts w:ascii="Times New Roman" w:hAnsi="Times New Roman" w:cs="Times New Roman"/>
          <w:szCs w:val="24"/>
        </w:rPr>
        <w:t xml:space="preserve">specialist auditors, the KAM disclosed by specialist auditors </w:t>
      </w:r>
      <w:r w:rsidR="00E53D3D" w:rsidRPr="007F32A3">
        <w:rPr>
          <w:rFonts w:ascii="Times New Roman" w:hAnsi="Times New Roman" w:cs="Times New Roman"/>
          <w:szCs w:val="24"/>
        </w:rPr>
        <w:t>have higher quality</w:t>
      </w:r>
      <w:r w:rsidR="00300576" w:rsidRPr="007F32A3">
        <w:rPr>
          <w:rFonts w:ascii="Times New Roman" w:hAnsi="Times New Roman" w:cs="Times New Roman"/>
          <w:szCs w:val="24"/>
        </w:rPr>
        <w:t xml:space="preserve">. Besides </w:t>
      </w:r>
      <w:r w:rsidRPr="007F32A3">
        <w:rPr>
          <w:rFonts w:ascii="Times New Roman" w:hAnsi="Times New Roman" w:cs="Times New Roman"/>
          <w:szCs w:val="24"/>
        </w:rPr>
        <w:t>the indicator variable of industry specialist auditors</w:t>
      </w:r>
      <w:r w:rsidR="00300576" w:rsidRPr="007F32A3">
        <w:rPr>
          <w:rFonts w:ascii="Times New Roman" w:hAnsi="Times New Roman" w:cs="Times New Roman"/>
          <w:szCs w:val="24"/>
        </w:rPr>
        <w:t>,</w:t>
      </w:r>
      <w:r w:rsidR="00300576" w:rsidRPr="007F32A3">
        <w:rPr>
          <w:rFonts w:ascii="Times New Roman" w:hAnsi="Times New Roman" w:cs="Times New Roman"/>
          <w:kern w:val="0"/>
          <w:szCs w:val="24"/>
        </w:rPr>
        <w:t xml:space="preserve"> this study includes audit firm size (</w:t>
      </w:r>
      <w:r w:rsidR="00300576" w:rsidRPr="007F32A3">
        <w:rPr>
          <w:rFonts w:ascii="Times New Roman" w:hAnsi="Times New Roman" w:cs="Times New Roman"/>
          <w:i/>
          <w:kern w:val="0"/>
          <w:szCs w:val="24"/>
        </w:rPr>
        <w:t>BIGN</w:t>
      </w:r>
      <w:r w:rsidR="00300576" w:rsidRPr="007F32A3">
        <w:rPr>
          <w:rFonts w:ascii="Times New Roman" w:hAnsi="Times New Roman" w:cs="Times New Roman"/>
          <w:kern w:val="0"/>
          <w:szCs w:val="24"/>
        </w:rPr>
        <w:t>)</w:t>
      </w:r>
      <w:r w:rsidR="00E53D3D"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audit tenure (</w:t>
      </w:r>
      <w:r w:rsidR="00E53D3D" w:rsidRPr="007F32A3">
        <w:rPr>
          <w:rFonts w:ascii="Times New Roman" w:hAnsi="Times New Roman" w:cs="Times New Roman"/>
          <w:i/>
          <w:kern w:val="0"/>
          <w:szCs w:val="24"/>
        </w:rPr>
        <w:t>CPA</w:t>
      </w:r>
      <w:r w:rsidR="00300576" w:rsidRPr="007F32A3">
        <w:rPr>
          <w:rFonts w:ascii="Times New Roman" w:hAnsi="Times New Roman" w:cs="Times New Roman"/>
          <w:i/>
          <w:kern w:val="0"/>
          <w:szCs w:val="24"/>
        </w:rPr>
        <w:t>TEN</w:t>
      </w:r>
      <w:r w:rsidR="00300576" w:rsidRPr="007F32A3">
        <w:rPr>
          <w:rFonts w:ascii="Times New Roman" w:hAnsi="Times New Roman" w:cs="Times New Roman"/>
          <w:kern w:val="0"/>
          <w:szCs w:val="24"/>
        </w:rPr>
        <w:t>)</w:t>
      </w:r>
      <w:r w:rsidR="00E53D3D" w:rsidRPr="007F32A3">
        <w:rPr>
          <w:rFonts w:ascii="Times New Roman" w:hAnsi="Times New Roman" w:cs="Times New Roman"/>
          <w:kern w:val="0"/>
          <w:szCs w:val="24"/>
        </w:rPr>
        <w:t>, and audit experience(</w:t>
      </w:r>
      <w:r w:rsidR="00E53D3D" w:rsidRPr="007F32A3">
        <w:rPr>
          <w:rFonts w:ascii="Times New Roman" w:hAnsi="Times New Roman" w:cs="Times New Roman"/>
          <w:i/>
          <w:kern w:val="0"/>
          <w:szCs w:val="24"/>
        </w:rPr>
        <w:t>CPAEXP</w:t>
      </w:r>
      <w:r w:rsidR="00E53D3D"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to control the impact of audit quality on auditors’ opinion</w:t>
      </w:r>
      <w:r w:rsidR="00E103AF" w:rsidRPr="007F32A3">
        <w:rPr>
          <w:rFonts w:ascii="Times New Roman" w:hAnsi="Times New Roman" w:cs="Times New Roman"/>
          <w:kern w:val="0"/>
          <w:szCs w:val="24"/>
        </w:rPr>
        <w:t>s</w:t>
      </w:r>
      <w:r w:rsidR="00300576" w:rsidRPr="007F32A3">
        <w:rPr>
          <w:rFonts w:ascii="Times New Roman" w:hAnsi="Times New Roman" w:cs="Times New Roman"/>
          <w:kern w:val="0"/>
          <w:szCs w:val="24"/>
        </w:rPr>
        <w:t xml:space="preserve"> according to prior studies (e.g., Craswell, Stokes, </w:t>
      </w:r>
      <w:r w:rsidR="00AE3D06" w:rsidRPr="007F32A3">
        <w:rPr>
          <w:rFonts w:ascii="Times New Roman" w:hAnsi="Times New Roman" w:cs="Times New Roman"/>
          <w:kern w:val="0"/>
          <w:szCs w:val="24"/>
        </w:rPr>
        <w:t>and</w:t>
      </w:r>
      <w:r w:rsidR="00073FDB" w:rsidRPr="007F32A3">
        <w:rPr>
          <w:rFonts w:ascii="Times New Roman" w:hAnsi="Times New Roman" w:cs="Times New Roman"/>
          <w:kern w:val="0"/>
          <w:szCs w:val="24"/>
        </w:rPr>
        <w:t xml:space="preserve"> </w:t>
      </w:r>
      <w:r w:rsidR="00300576" w:rsidRPr="007F32A3">
        <w:rPr>
          <w:rFonts w:ascii="Times New Roman" w:hAnsi="Times New Roman" w:cs="Times New Roman"/>
          <w:kern w:val="0"/>
          <w:szCs w:val="24"/>
        </w:rPr>
        <w:t xml:space="preserve">Laughton 2002). </w:t>
      </w:r>
      <w:r w:rsidR="00073FDB" w:rsidRPr="007F32A3">
        <w:rPr>
          <w:rFonts w:ascii="Times New Roman" w:hAnsi="Times New Roman" w:cs="Times New Roman"/>
          <w:kern w:val="0"/>
          <w:szCs w:val="24"/>
        </w:rPr>
        <w:t xml:space="preserve">The following </w:t>
      </w:r>
      <w:r w:rsidR="00300576" w:rsidRPr="007F32A3">
        <w:rPr>
          <w:rFonts w:ascii="Times New Roman" w:hAnsi="Times New Roman" w:cs="Times New Roman"/>
          <w:kern w:val="0"/>
          <w:szCs w:val="24"/>
        </w:rPr>
        <w:t>corporation and governance characteristics are used as control variables</w:t>
      </w:r>
      <w:r w:rsidR="00073FDB"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as they have been found to be associated with audit quality and </w:t>
      </w:r>
      <w:r w:rsidR="00073FDB" w:rsidRPr="007F32A3">
        <w:rPr>
          <w:rFonts w:ascii="Times New Roman" w:hAnsi="Times New Roman" w:cs="Times New Roman"/>
          <w:kern w:val="0"/>
          <w:szCs w:val="24"/>
        </w:rPr>
        <w:t xml:space="preserve">reporting </w:t>
      </w:r>
      <w:r w:rsidR="00300576" w:rsidRPr="007F32A3">
        <w:rPr>
          <w:rFonts w:ascii="Times New Roman" w:eastAsia="標楷體" w:hAnsi="Times New Roman" w:cs="Times New Roman"/>
          <w:bCs/>
          <w:kern w:val="0"/>
          <w:szCs w:val="24"/>
        </w:rPr>
        <w:t xml:space="preserve">(e.g., </w:t>
      </w:r>
      <w:r w:rsidR="00300576" w:rsidRPr="007F32A3">
        <w:rPr>
          <w:rFonts w:ascii="Times New Roman" w:hAnsi="Times New Roman" w:cs="Times New Roman"/>
          <w:szCs w:val="24"/>
        </w:rPr>
        <w:t xml:space="preserve">Francis </w:t>
      </w:r>
      <w:r w:rsidR="00AE3D06" w:rsidRPr="007F32A3">
        <w:rPr>
          <w:rFonts w:ascii="Times New Roman" w:hAnsi="Times New Roman" w:cs="Times New Roman"/>
          <w:szCs w:val="24"/>
        </w:rPr>
        <w:t>and</w:t>
      </w:r>
      <w:r w:rsidR="00073FDB" w:rsidRPr="007F32A3">
        <w:rPr>
          <w:rFonts w:ascii="Times New Roman" w:hAnsi="Times New Roman" w:cs="Times New Roman"/>
          <w:szCs w:val="24"/>
        </w:rPr>
        <w:t xml:space="preserve"> </w:t>
      </w:r>
      <w:r w:rsidR="00300576" w:rsidRPr="007F32A3">
        <w:rPr>
          <w:rFonts w:ascii="Times New Roman" w:hAnsi="Times New Roman" w:cs="Times New Roman"/>
          <w:szCs w:val="24"/>
        </w:rPr>
        <w:t>Krishnan</w:t>
      </w:r>
      <w:r w:rsidR="00073FDB" w:rsidRPr="007F32A3">
        <w:rPr>
          <w:rFonts w:ascii="Times New Roman" w:hAnsi="Times New Roman" w:cs="Times New Roman"/>
          <w:szCs w:val="24"/>
        </w:rPr>
        <w:t>,</w:t>
      </w:r>
      <w:r w:rsidR="00300576" w:rsidRPr="007F32A3">
        <w:rPr>
          <w:rFonts w:ascii="Times New Roman" w:hAnsi="Times New Roman" w:cs="Times New Roman"/>
          <w:szCs w:val="24"/>
        </w:rPr>
        <w:t xml:space="preserve"> 2001; Geiger </w:t>
      </w:r>
      <w:r w:rsidR="00AE3D06" w:rsidRPr="007F32A3">
        <w:rPr>
          <w:rFonts w:ascii="Times New Roman" w:hAnsi="Times New Roman" w:cs="Times New Roman"/>
          <w:szCs w:val="24"/>
        </w:rPr>
        <w:t>and</w:t>
      </w:r>
      <w:r w:rsidR="00073FDB" w:rsidRPr="007F32A3">
        <w:rPr>
          <w:rFonts w:ascii="Times New Roman" w:hAnsi="Times New Roman" w:cs="Times New Roman"/>
          <w:szCs w:val="24"/>
        </w:rPr>
        <w:t xml:space="preserve"> </w:t>
      </w:r>
      <w:r w:rsidR="00300576" w:rsidRPr="007F32A3">
        <w:rPr>
          <w:rFonts w:ascii="Times New Roman" w:hAnsi="Times New Roman" w:cs="Times New Roman"/>
          <w:szCs w:val="24"/>
        </w:rPr>
        <w:t>Raghunandan</w:t>
      </w:r>
      <w:r w:rsidR="00073FDB" w:rsidRPr="007F32A3">
        <w:rPr>
          <w:rFonts w:ascii="Times New Roman" w:hAnsi="Times New Roman" w:cs="Times New Roman"/>
          <w:szCs w:val="24"/>
        </w:rPr>
        <w:t>,</w:t>
      </w:r>
      <w:r w:rsidR="00300576" w:rsidRPr="007F32A3">
        <w:rPr>
          <w:rFonts w:ascii="Times New Roman" w:hAnsi="Times New Roman" w:cs="Times New Roman"/>
          <w:szCs w:val="24"/>
        </w:rPr>
        <w:t xml:space="preserve"> 2002; </w:t>
      </w:r>
      <w:r w:rsidR="00300576" w:rsidRPr="007F32A3">
        <w:rPr>
          <w:rFonts w:ascii="Times New Roman" w:hAnsi="Times New Roman" w:cs="Times New Roman"/>
          <w:kern w:val="0"/>
          <w:szCs w:val="24"/>
        </w:rPr>
        <w:t>DeFond et al.</w:t>
      </w:r>
      <w:r w:rsidR="00073FDB"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2002; Carey </w:t>
      </w:r>
      <w:r w:rsidR="00AE3D06" w:rsidRPr="007F32A3">
        <w:rPr>
          <w:rFonts w:ascii="Times New Roman" w:hAnsi="Times New Roman" w:cs="Times New Roman"/>
          <w:kern w:val="0"/>
          <w:szCs w:val="24"/>
        </w:rPr>
        <w:t>and</w:t>
      </w:r>
      <w:r w:rsidR="00073FDB" w:rsidRPr="007F32A3">
        <w:rPr>
          <w:rFonts w:ascii="Times New Roman" w:hAnsi="Times New Roman" w:cs="Times New Roman"/>
          <w:kern w:val="0"/>
          <w:szCs w:val="24"/>
        </w:rPr>
        <w:t xml:space="preserve"> </w:t>
      </w:r>
      <w:r w:rsidR="00300576" w:rsidRPr="007F32A3">
        <w:rPr>
          <w:rFonts w:ascii="Times New Roman" w:hAnsi="Times New Roman" w:cs="Times New Roman"/>
          <w:kern w:val="0"/>
          <w:szCs w:val="24"/>
        </w:rPr>
        <w:t>Simnett</w:t>
      </w:r>
      <w:r w:rsidR="00073FDB"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2006; Lim </w:t>
      </w:r>
      <w:r w:rsidR="00AE3D06" w:rsidRPr="007F32A3">
        <w:rPr>
          <w:rFonts w:ascii="Times New Roman" w:hAnsi="Times New Roman" w:cs="Times New Roman"/>
          <w:kern w:val="0"/>
          <w:szCs w:val="24"/>
        </w:rPr>
        <w:t>and</w:t>
      </w:r>
      <w:r w:rsidR="00073FDB" w:rsidRPr="007F32A3">
        <w:rPr>
          <w:rFonts w:ascii="Times New Roman" w:hAnsi="Times New Roman" w:cs="Times New Roman"/>
          <w:kern w:val="0"/>
          <w:szCs w:val="24"/>
        </w:rPr>
        <w:t xml:space="preserve"> </w:t>
      </w:r>
      <w:r w:rsidR="00300576" w:rsidRPr="007F32A3">
        <w:rPr>
          <w:rFonts w:ascii="Times New Roman" w:hAnsi="Times New Roman" w:cs="Times New Roman"/>
          <w:kern w:val="0"/>
          <w:szCs w:val="24"/>
        </w:rPr>
        <w:t>Tan</w:t>
      </w:r>
      <w:r w:rsidR="00073FDB"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2008; Robinson</w:t>
      </w:r>
      <w:r w:rsidR="00073FDB"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2008; Sultana et al.</w:t>
      </w:r>
      <w:r w:rsidR="00073FDB" w:rsidRPr="007F32A3">
        <w:rPr>
          <w:rFonts w:ascii="Times New Roman" w:hAnsi="Times New Roman" w:cs="Times New Roman"/>
          <w:kern w:val="0"/>
          <w:szCs w:val="24"/>
        </w:rPr>
        <w:t>,</w:t>
      </w:r>
      <w:r w:rsidR="00300576" w:rsidRPr="007F32A3">
        <w:rPr>
          <w:rFonts w:ascii="Times New Roman" w:hAnsi="Times New Roman" w:cs="Times New Roman"/>
          <w:kern w:val="0"/>
          <w:szCs w:val="24"/>
        </w:rPr>
        <w:t xml:space="preserve"> 2015</w:t>
      </w:r>
      <w:r w:rsidR="00300576" w:rsidRPr="007F32A3">
        <w:rPr>
          <w:rFonts w:ascii="Times New Roman" w:eastAsia="標楷體" w:hAnsi="Times New Roman" w:cs="Times New Roman"/>
          <w:bCs/>
          <w:kern w:val="0"/>
          <w:szCs w:val="24"/>
        </w:rPr>
        <w:t>)</w:t>
      </w:r>
      <w:r w:rsidR="00073FDB" w:rsidRPr="007F32A3">
        <w:rPr>
          <w:rFonts w:ascii="Times New Roman" w:eastAsia="標楷體" w:hAnsi="Times New Roman" w:cs="Times New Roman"/>
          <w:bCs/>
          <w:kern w:val="0"/>
          <w:szCs w:val="24"/>
        </w:rPr>
        <w:t>.</w:t>
      </w:r>
      <w:r w:rsidR="00300576" w:rsidRPr="007F32A3">
        <w:rPr>
          <w:rStyle w:val="a5"/>
          <w:rFonts w:ascii="Times New Roman" w:eastAsia="標楷體" w:hAnsi="Times New Roman" w:cs="Times New Roman"/>
          <w:kern w:val="0"/>
          <w:szCs w:val="24"/>
        </w:rPr>
        <w:footnoteReference w:id="7"/>
      </w:r>
    </w:p>
    <w:p w:rsidR="00AE3D06" w:rsidRPr="007F32A3" w:rsidRDefault="00073FDB" w:rsidP="0061290E">
      <w:pPr>
        <w:autoSpaceDE w:val="0"/>
        <w:autoSpaceDN w:val="0"/>
        <w:adjustRightInd w:val="0"/>
        <w:snapToGrid w:val="0"/>
        <w:spacing w:beforeLines="50" w:before="180" w:afterLines="50" w:after="180" w:line="480" w:lineRule="auto"/>
        <w:ind w:firstLineChars="200" w:firstLine="480"/>
        <w:jc w:val="both"/>
        <w:rPr>
          <w:rStyle w:val="shorttext"/>
          <w:rFonts w:ascii="Times New Roman" w:hAnsi="Times New Roman" w:cs="Times New Roman"/>
          <w:szCs w:val="24"/>
          <w:lang w:val="en"/>
        </w:rPr>
      </w:pPr>
      <w:r w:rsidRPr="007F32A3">
        <w:rPr>
          <w:rFonts w:ascii="Times New Roman" w:eastAsia="Palatino1-Roman" w:hAnsi="Times New Roman" w:cs="Times New Roman"/>
          <w:kern w:val="0"/>
          <w:szCs w:val="24"/>
        </w:rPr>
        <w:t xml:space="preserve">Because </w:t>
      </w:r>
      <w:r w:rsidR="00300576" w:rsidRPr="007F32A3">
        <w:rPr>
          <w:rFonts w:ascii="Times New Roman" w:eastAsia="Palatino1-Roman" w:hAnsi="Times New Roman" w:cs="Times New Roman"/>
          <w:kern w:val="0"/>
          <w:szCs w:val="24"/>
        </w:rPr>
        <w:t xml:space="preserve">corporate governance </w:t>
      </w:r>
      <w:r w:rsidR="00E103AF" w:rsidRPr="007F32A3">
        <w:rPr>
          <w:rFonts w:ascii="Times New Roman" w:eastAsia="Palatino1-Roman" w:hAnsi="Times New Roman" w:cs="Times New Roman"/>
          <w:kern w:val="0"/>
          <w:szCs w:val="24"/>
        </w:rPr>
        <w:t xml:space="preserve">is </w:t>
      </w:r>
      <w:r w:rsidR="00300576" w:rsidRPr="007F32A3">
        <w:rPr>
          <w:rFonts w:ascii="Times New Roman" w:eastAsia="Palatino1-Roman" w:hAnsi="Times New Roman" w:cs="Times New Roman"/>
          <w:kern w:val="0"/>
          <w:szCs w:val="24"/>
        </w:rPr>
        <w:t xml:space="preserve">suggested to be one of major mechanisms </w:t>
      </w:r>
      <w:r w:rsidR="00E103AF" w:rsidRPr="007F32A3">
        <w:rPr>
          <w:rFonts w:ascii="Times New Roman" w:eastAsia="Palatino1-Roman" w:hAnsi="Times New Roman" w:cs="Times New Roman"/>
          <w:kern w:val="0"/>
          <w:szCs w:val="24"/>
        </w:rPr>
        <w:t xml:space="preserve">that </w:t>
      </w:r>
      <w:r w:rsidR="00300576" w:rsidRPr="007F32A3">
        <w:rPr>
          <w:rFonts w:ascii="Times New Roman" w:eastAsia="Palatino1-Roman" w:hAnsi="Times New Roman" w:cs="Times New Roman"/>
          <w:kern w:val="0"/>
          <w:szCs w:val="24"/>
        </w:rPr>
        <w:t xml:space="preserve">influence the </w:t>
      </w:r>
      <w:r w:rsidR="00300576" w:rsidRPr="007F32A3">
        <w:rPr>
          <w:rFonts w:ascii="Times New Roman" w:eastAsia="Palatino1-Roman" w:hAnsi="Times New Roman" w:cs="Times New Roman"/>
          <w:kern w:val="0"/>
          <w:szCs w:val="24"/>
        </w:rPr>
        <w:lastRenderedPageBreak/>
        <w:t xml:space="preserve">relationship </w:t>
      </w:r>
      <w:r w:rsidRPr="007F32A3">
        <w:rPr>
          <w:rFonts w:ascii="Times New Roman" w:eastAsia="Palatino1-Roman" w:hAnsi="Times New Roman" w:cs="Times New Roman"/>
          <w:kern w:val="0"/>
          <w:szCs w:val="24"/>
        </w:rPr>
        <w:t xml:space="preserve">among a </w:t>
      </w:r>
      <w:r w:rsidR="00300576" w:rsidRPr="007F32A3">
        <w:rPr>
          <w:rFonts w:ascii="Times New Roman" w:eastAsia="Palatino1-Roman" w:hAnsi="Times New Roman" w:cs="Times New Roman"/>
          <w:kern w:val="0"/>
          <w:szCs w:val="24"/>
        </w:rPr>
        <w:t xml:space="preserve">board of directors, management, and audit firms, it can extend to the issuance of </w:t>
      </w:r>
      <w:r w:rsidR="00E103AF" w:rsidRPr="007F32A3">
        <w:rPr>
          <w:rFonts w:ascii="Times New Roman" w:eastAsia="Palatino1-Roman" w:hAnsi="Times New Roman" w:cs="Times New Roman"/>
          <w:kern w:val="0"/>
          <w:szCs w:val="24"/>
        </w:rPr>
        <w:t xml:space="preserve">an </w:t>
      </w:r>
      <w:r w:rsidR="00300576" w:rsidRPr="007F32A3">
        <w:rPr>
          <w:rFonts w:ascii="Times New Roman" w:eastAsia="Palatino1-Roman" w:hAnsi="Times New Roman" w:cs="Times New Roman"/>
          <w:kern w:val="0"/>
          <w:szCs w:val="24"/>
        </w:rPr>
        <w:t xml:space="preserve">audit report. Therefore, this study includes a </w:t>
      </w:r>
      <w:r w:rsidR="00300576" w:rsidRPr="007F32A3">
        <w:rPr>
          <w:rFonts w:ascii="Times New Roman" w:hAnsi="Times New Roman" w:cs="Times New Roman"/>
          <w:szCs w:val="24"/>
        </w:rPr>
        <w:t>corporate governance index (</w:t>
      </w:r>
      <w:r w:rsidR="00300576" w:rsidRPr="007F32A3">
        <w:rPr>
          <w:rFonts w:ascii="Times New Roman" w:hAnsi="Times New Roman" w:cs="Times New Roman"/>
          <w:i/>
          <w:szCs w:val="24"/>
        </w:rPr>
        <w:t>CG</w:t>
      </w:r>
      <w:r w:rsidR="00300576" w:rsidRPr="007F32A3">
        <w:rPr>
          <w:rFonts w:ascii="Times New Roman" w:hAnsi="Times New Roman" w:cs="Times New Roman"/>
          <w:szCs w:val="24"/>
        </w:rPr>
        <w:t xml:space="preserve">) that captures the degree of corporate governance circumstances over </w:t>
      </w:r>
      <w:r w:rsidRPr="007F32A3">
        <w:rPr>
          <w:rFonts w:ascii="Times New Roman" w:hAnsi="Times New Roman" w:cs="Times New Roman"/>
          <w:szCs w:val="24"/>
        </w:rPr>
        <w:t xml:space="preserve">that of </w:t>
      </w:r>
      <w:r w:rsidR="00300576" w:rsidRPr="007F32A3">
        <w:rPr>
          <w:rFonts w:ascii="Times New Roman" w:hAnsi="Times New Roman" w:cs="Times New Roman"/>
          <w:szCs w:val="24"/>
        </w:rPr>
        <w:t>a company. Besides, while poor profitability, h</w:t>
      </w:r>
      <w:r w:rsidR="00300576" w:rsidRPr="007F32A3">
        <w:rPr>
          <w:rFonts w:ascii="Times New Roman" w:eastAsia="Palatino1-Roman" w:hAnsi="Times New Roman" w:cs="Times New Roman"/>
          <w:kern w:val="0"/>
          <w:szCs w:val="24"/>
        </w:rPr>
        <w:t xml:space="preserve">igh </w:t>
      </w:r>
      <w:r w:rsidRPr="007F32A3">
        <w:rPr>
          <w:rFonts w:ascii="Times New Roman" w:eastAsia="Palatino1-Roman" w:hAnsi="Times New Roman" w:cs="Times New Roman"/>
          <w:kern w:val="0"/>
          <w:szCs w:val="24"/>
        </w:rPr>
        <w:t xml:space="preserve">leverage, </w:t>
      </w:r>
      <w:r w:rsidR="00300576" w:rsidRPr="007F32A3">
        <w:rPr>
          <w:rFonts w:ascii="Times New Roman" w:eastAsia="Palatino1-Roman" w:hAnsi="Times New Roman" w:cs="Times New Roman"/>
          <w:kern w:val="0"/>
          <w:szCs w:val="24"/>
        </w:rPr>
        <w:t xml:space="preserve">and more growth-centric companies are perceived as </w:t>
      </w:r>
      <w:r w:rsidRPr="007F32A3">
        <w:rPr>
          <w:rFonts w:ascii="Times New Roman" w:eastAsia="Palatino1-Roman" w:hAnsi="Times New Roman" w:cs="Times New Roman"/>
          <w:kern w:val="0"/>
          <w:szCs w:val="24"/>
        </w:rPr>
        <w:t xml:space="preserve">being </w:t>
      </w:r>
      <w:r w:rsidR="00300576" w:rsidRPr="007F32A3">
        <w:rPr>
          <w:rFonts w:ascii="Times New Roman" w:eastAsia="Palatino1-Roman" w:hAnsi="Times New Roman" w:cs="Times New Roman"/>
          <w:kern w:val="0"/>
          <w:szCs w:val="24"/>
        </w:rPr>
        <w:t xml:space="preserve">of higher risk due to more aggressive opportunistic behavior of corporate management and may influence auditors’ consideration </w:t>
      </w:r>
      <w:r w:rsidR="00E103AF" w:rsidRPr="007F32A3">
        <w:rPr>
          <w:rFonts w:ascii="Times New Roman" w:eastAsia="Palatino1-Roman" w:hAnsi="Times New Roman" w:cs="Times New Roman"/>
          <w:kern w:val="0"/>
          <w:szCs w:val="24"/>
        </w:rPr>
        <w:t xml:space="preserve">of </w:t>
      </w:r>
      <w:r w:rsidR="00300576" w:rsidRPr="007F32A3">
        <w:rPr>
          <w:rFonts w:ascii="Times New Roman" w:eastAsia="Palatino1-Roman" w:hAnsi="Times New Roman" w:cs="Times New Roman"/>
          <w:kern w:val="0"/>
          <w:szCs w:val="24"/>
        </w:rPr>
        <w:t>the audit opinion, this study includes an indicator denoting companies with negative income (</w:t>
      </w:r>
      <w:r w:rsidR="00300576" w:rsidRPr="007F32A3">
        <w:rPr>
          <w:rFonts w:ascii="Times New Roman" w:eastAsia="Palatino1-Roman" w:hAnsi="Times New Roman" w:cs="Times New Roman"/>
          <w:i/>
          <w:kern w:val="0"/>
          <w:szCs w:val="24"/>
        </w:rPr>
        <w:t>LOSS</w:t>
      </w:r>
      <w:r w:rsidR="00300576" w:rsidRPr="007F32A3">
        <w:rPr>
          <w:rFonts w:ascii="Times New Roman" w:eastAsia="Palatino1-Roman" w:hAnsi="Times New Roman" w:cs="Times New Roman"/>
          <w:kern w:val="0"/>
          <w:szCs w:val="24"/>
        </w:rPr>
        <w:t>), leverage (</w:t>
      </w:r>
      <w:r w:rsidR="00300576" w:rsidRPr="007F32A3">
        <w:rPr>
          <w:rFonts w:ascii="Times New Roman" w:eastAsia="Palatino1-Roman" w:hAnsi="Times New Roman" w:cs="Times New Roman"/>
          <w:i/>
          <w:kern w:val="0"/>
          <w:szCs w:val="24"/>
        </w:rPr>
        <w:t>LEV</w:t>
      </w:r>
      <w:r w:rsidR="00300576" w:rsidRPr="007F32A3">
        <w:rPr>
          <w:rFonts w:ascii="Times New Roman" w:eastAsia="Palatino1-Roman" w:hAnsi="Times New Roman" w:cs="Times New Roman"/>
          <w:kern w:val="0"/>
          <w:szCs w:val="24"/>
        </w:rPr>
        <w:t>), and growth opportunities (</w:t>
      </w:r>
      <w:r w:rsidR="00E53D3D" w:rsidRPr="007F32A3">
        <w:rPr>
          <w:rFonts w:ascii="Times New Roman" w:eastAsia="Palatino1-Roman" w:hAnsi="Times New Roman" w:cs="Times New Roman"/>
          <w:i/>
          <w:kern w:val="0"/>
          <w:szCs w:val="24"/>
        </w:rPr>
        <w:t>MB</w:t>
      </w:r>
      <w:r w:rsidR="00300576" w:rsidRPr="007F32A3">
        <w:rPr>
          <w:rFonts w:ascii="Times New Roman" w:eastAsia="Palatino1-Roman" w:hAnsi="Times New Roman" w:cs="Times New Roman"/>
          <w:kern w:val="0"/>
          <w:szCs w:val="24"/>
        </w:rPr>
        <w:t xml:space="preserve">) in the regression as well. </w:t>
      </w:r>
      <w:r w:rsidR="001B3952" w:rsidRPr="007F32A3">
        <w:rPr>
          <w:rStyle w:val="shorttext"/>
          <w:rFonts w:ascii="Times New Roman" w:hAnsi="Times New Roman" w:cs="Times New Roman"/>
          <w:szCs w:val="24"/>
          <w:lang w:val="en"/>
        </w:rPr>
        <w:t>Besides, with regard to the control of audit risks, the operation complexity of client companies may affect the types of auditor opinions as well (Wu et al. 2011), and the operating complexity (</w:t>
      </w:r>
      <w:r w:rsidR="001B3952" w:rsidRPr="007F32A3">
        <w:rPr>
          <w:rStyle w:val="shorttext"/>
          <w:rFonts w:ascii="Times New Roman" w:hAnsi="Times New Roman" w:cs="Times New Roman"/>
          <w:i/>
          <w:szCs w:val="24"/>
          <w:lang w:val="en"/>
        </w:rPr>
        <w:t>COMPLEX</w:t>
      </w:r>
      <w:r w:rsidR="001B3952" w:rsidRPr="007F32A3">
        <w:rPr>
          <w:rStyle w:val="shorttext"/>
          <w:rFonts w:ascii="Times New Roman" w:hAnsi="Times New Roman" w:cs="Times New Roman"/>
          <w:szCs w:val="24"/>
          <w:lang w:val="en"/>
        </w:rPr>
        <w:t xml:space="preserve">) of client companies is included according to prior studies (Francis et al. 2005; Choi et al. 2010; Zerni 2011). </w:t>
      </w:r>
      <w:r w:rsidR="00300576" w:rsidRPr="007F32A3">
        <w:rPr>
          <w:rFonts w:ascii="Times New Roman" w:eastAsia="Palatino1-Roman" w:hAnsi="Times New Roman" w:cs="Times New Roman"/>
          <w:kern w:val="0"/>
          <w:szCs w:val="24"/>
        </w:rPr>
        <w:t>At last, client size (</w:t>
      </w:r>
      <w:r w:rsidR="00300576" w:rsidRPr="007F32A3">
        <w:rPr>
          <w:rFonts w:ascii="Times New Roman" w:eastAsia="Palatino1-Roman" w:hAnsi="Times New Roman" w:cs="Times New Roman"/>
          <w:i/>
          <w:kern w:val="0"/>
          <w:szCs w:val="24"/>
        </w:rPr>
        <w:t>SIZE</w:t>
      </w:r>
      <w:r w:rsidR="00300576" w:rsidRPr="007F32A3">
        <w:rPr>
          <w:rFonts w:ascii="Times New Roman" w:eastAsia="Palatino1-Roman" w:hAnsi="Times New Roman" w:cs="Times New Roman"/>
          <w:kern w:val="0"/>
          <w:szCs w:val="24"/>
        </w:rPr>
        <w:t>) is included</w:t>
      </w:r>
      <w:r w:rsidRPr="007F32A3">
        <w:rPr>
          <w:rFonts w:ascii="Times New Roman" w:eastAsia="Palatino1-Roman" w:hAnsi="Times New Roman" w:cs="Times New Roman"/>
          <w:kern w:val="0"/>
          <w:szCs w:val="24"/>
        </w:rPr>
        <w:t>,</w:t>
      </w:r>
      <w:r w:rsidR="00300576" w:rsidRPr="007F32A3">
        <w:rPr>
          <w:rFonts w:ascii="Times New Roman" w:eastAsia="Palatino1-Roman" w:hAnsi="Times New Roman" w:cs="Times New Roman"/>
          <w:kern w:val="0"/>
          <w:szCs w:val="24"/>
        </w:rPr>
        <w:t xml:space="preserve"> while prior studies </w:t>
      </w:r>
      <w:r w:rsidRPr="007F32A3">
        <w:rPr>
          <w:rFonts w:ascii="Times New Roman" w:eastAsia="Palatino1-Roman" w:hAnsi="Times New Roman" w:cs="Times New Roman"/>
          <w:kern w:val="0"/>
          <w:szCs w:val="24"/>
        </w:rPr>
        <w:t xml:space="preserve">suggest </w:t>
      </w:r>
      <w:r w:rsidR="00300576" w:rsidRPr="007F32A3">
        <w:rPr>
          <w:rFonts w:ascii="Times New Roman" w:hAnsi="Times New Roman" w:cs="Times New Roman"/>
          <w:kern w:val="0"/>
          <w:szCs w:val="24"/>
        </w:rPr>
        <w:t xml:space="preserve">there is a size effect on stock returns for </w:t>
      </w:r>
      <w:r w:rsidR="00E103AF" w:rsidRPr="007F32A3">
        <w:rPr>
          <w:rFonts w:ascii="Times New Roman" w:hAnsi="Times New Roman" w:cs="Times New Roman"/>
          <w:kern w:val="0"/>
          <w:szCs w:val="24"/>
        </w:rPr>
        <w:t xml:space="preserve">an </w:t>
      </w:r>
      <w:r w:rsidR="00300576" w:rsidRPr="007F32A3">
        <w:rPr>
          <w:rFonts w:ascii="Times New Roman" w:hAnsi="Times New Roman" w:cs="Times New Roman"/>
          <w:kern w:val="0"/>
          <w:szCs w:val="24"/>
        </w:rPr>
        <w:t xml:space="preserve">audit opinion, and it may influence </w:t>
      </w:r>
      <w:r w:rsidRPr="007F32A3">
        <w:rPr>
          <w:rFonts w:ascii="Times New Roman" w:hAnsi="Times New Roman" w:cs="Times New Roman"/>
          <w:kern w:val="0"/>
          <w:szCs w:val="24"/>
        </w:rPr>
        <w:t xml:space="preserve">an auditor’s </w:t>
      </w:r>
      <w:r w:rsidRPr="007F32A3">
        <w:rPr>
          <w:rStyle w:val="shorttext"/>
          <w:rFonts w:ascii="Times New Roman" w:hAnsi="Times New Roman" w:cs="Times New Roman"/>
          <w:szCs w:val="24"/>
          <w:lang w:val="en"/>
        </w:rPr>
        <w:t xml:space="preserve">decision </w:t>
      </w:r>
      <w:r w:rsidR="00300576" w:rsidRPr="007F32A3">
        <w:rPr>
          <w:rStyle w:val="shorttext"/>
          <w:rFonts w:ascii="Times New Roman" w:hAnsi="Times New Roman" w:cs="Times New Roman"/>
          <w:szCs w:val="24"/>
          <w:lang w:val="en"/>
        </w:rPr>
        <w:t>on opinions.</w:t>
      </w:r>
      <w:r w:rsidR="00AE3D06" w:rsidRPr="007F32A3">
        <w:rPr>
          <w:rStyle w:val="shorttext"/>
          <w:rFonts w:ascii="Times New Roman" w:hAnsi="Times New Roman" w:cs="Times New Roman"/>
          <w:szCs w:val="24"/>
          <w:lang w:val="en"/>
        </w:rPr>
        <w:t xml:space="preserve"> </w:t>
      </w:r>
    </w:p>
    <w:p w:rsidR="00AE3D06" w:rsidRPr="007F32A3" w:rsidRDefault="00AE3D06" w:rsidP="0061290E">
      <w:pPr>
        <w:snapToGrid w:val="0"/>
        <w:spacing w:beforeLines="50" w:before="180" w:afterLines="50" w:after="180" w:line="480" w:lineRule="auto"/>
        <w:jc w:val="both"/>
        <w:rPr>
          <w:rFonts w:ascii="Times New Roman" w:eastAsia="標楷體" w:hAnsi="Times New Roman" w:cs="Times New Roman"/>
          <w:iCs/>
          <w:kern w:val="0"/>
          <w:shd w:val="clear" w:color="auto" w:fill="FFFFFF"/>
        </w:rPr>
      </w:pPr>
      <w:r w:rsidRPr="007F32A3">
        <w:rPr>
          <w:rFonts w:ascii="Times New Roman" w:eastAsia="標楷體" w:hAnsi="Times New Roman" w:cs="Times New Roman"/>
          <w:b/>
          <w:bCs/>
          <w:noProof/>
        </w:rPr>
        <w:t>Sample Selection</w:t>
      </w:r>
      <w:r w:rsidRPr="007F32A3">
        <w:rPr>
          <w:rFonts w:ascii="Times New Roman" w:eastAsia="標楷體" w:hAnsi="Times New Roman" w:cs="Times New Roman"/>
          <w:iCs/>
          <w:kern w:val="0"/>
          <w:shd w:val="clear" w:color="auto" w:fill="FFFFFF"/>
        </w:rPr>
        <w:t xml:space="preserve"> </w:t>
      </w:r>
    </w:p>
    <w:p w:rsidR="00490965" w:rsidRPr="007F32A3" w:rsidRDefault="00AE3D06" w:rsidP="0061290E">
      <w:pPr>
        <w:snapToGrid w:val="0"/>
        <w:spacing w:beforeLines="50" w:before="180" w:afterLines="50" w:after="180" w:line="480" w:lineRule="auto"/>
        <w:ind w:firstLineChars="200" w:firstLine="480"/>
        <w:jc w:val="both"/>
        <w:rPr>
          <w:rFonts w:ascii="Times New Roman" w:hAnsi="Times New Roman" w:cs="Times New Roman"/>
          <w:shd w:val="clear" w:color="auto" w:fill="FFFFFF"/>
        </w:rPr>
      </w:pPr>
      <w:r w:rsidRPr="007F32A3">
        <w:rPr>
          <w:rFonts w:ascii="Times New Roman" w:eastAsia="標楷體" w:hAnsi="Times New Roman" w:cs="Times New Roman"/>
          <w:kern w:val="0"/>
          <w:shd w:val="clear" w:color="auto" w:fill="FFFFFF"/>
        </w:rPr>
        <w:t xml:space="preserve">Since SAS No. 58 required listed companies in Taiwan begin to include the communication of KAMs in their audit opinions for annual reports in 2016, this study uses Taiwanese listed companies in 2016 to be the empirical sample. KAMs will be hand collected from the annual reports that published on the </w:t>
      </w:r>
      <w:r w:rsidRPr="007F32A3">
        <w:rPr>
          <w:rFonts w:ascii="Times New Roman" w:eastAsia="標楷體" w:hAnsi="Times New Roman" w:cs="Times New Roman"/>
          <w:i/>
          <w:kern w:val="0"/>
          <w:shd w:val="clear" w:color="auto" w:fill="FFFFFF"/>
        </w:rPr>
        <w:t>Taiwan Market Observation Post System.</w:t>
      </w:r>
      <w:r w:rsidRPr="007F32A3">
        <w:rPr>
          <w:rFonts w:ascii="Times New Roman" w:eastAsia="標楷體" w:hAnsi="Times New Roman" w:cs="Times New Roman"/>
          <w:kern w:val="0"/>
          <w:shd w:val="clear" w:color="auto" w:fill="FFFFFF"/>
        </w:rPr>
        <w:t xml:space="preserve"> This study will process following steps to identify the account ment</w:t>
      </w:r>
      <w:r w:rsidR="00F74293" w:rsidRPr="007F32A3">
        <w:rPr>
          <w:rFonts w:ascii="Times New Roman" w:eastAsia="標楷體" w:hAnsi="Times New Roman" w:cs="Times New Roman"/>
          <w:kern w:val="0"/>
          <w:shd w:val="clear" w:color="auto" w:fill="FFFFFF"/>
        </w:rPr>
        <w:t>ioned in KAMs. First, we</w:t>
      </w:r>
      <w:r w:rsidRPr="007F32A3">
        <w:rPr>
          <w:rFonts w:ascii="Times New Roman" w:eastAsia="標楷體" w:hAnsi="Times New Roman" w:cs="Times New Roman"/>
          <w:kern w:val="0"/>
          <w:shd w:val="clear" w:color="auto" w:fill="FFFFFF"/>
        </w:rPr>
        <w:t xml:space="preserve"> down load the annual reports </w:t>
      </w:r>
      <w:r w:rsidR="00F74293" w:rsidRPr="007F32A3">
        <w:rPr>
          <w:rFonts w:ascii="Times New Roman" w:eastAsia="標楷體" w:hAnsi="Times New Roman" w:cs="Times New Roman"/>
          <w:kern w:val="0"/>
          <w:shd w:val="clear" w:color="auto" w:fill="FFFFFF"/>
        </w:rPr>
        <w:t xml:space="preserve">of 2016 </w:t>
      </w:r>
      <w:r w:rsidRPr="007F32A3">
        <w:rPr>
          <w:rFonts w:ascii="Times New Roman" w:eastAsia="標楷體" w:hAnsi="Times New Roman" w:cs="Times New Roman"/>
          <w:kern w:val="0"/>
          <w:shd w:val="clear" w:color="auto" w:fill="FFFFFF"/>
        </w:rPr>
        <w:t xml:space="preserve">for each company and </w:t>
      </w:r>
      <w:r w:rsidRPr="007F32A3">
        <w:rPr>
          <w:rFonts w:ascii="Times New Roman" w:hAnsi="Times New Roman" w:cs="Times New Roman"/>
          <w:shd w:val="clear" w:color="auto" w:fill="FFFFFF"/>
        </w:rPr>
        <w:t xml:space="preserve">read the KAMs information. </w:t>
      </w:r>
      <w:r w:rsidR="00F74293" w:rsidRPr="007F32A3">
        <w:rPr>
          <w:rFonts w:ascii="Times New Roman" w:hAnsi="Times New Roman" w:cs="Times New Roman"/>
          <w:shd w:val="clear" w:color="auto" w:fill="FFFFFF"/>
        </w:rPr>
        <w:t>Second</w:t>
      </w:r>
      <w:r w:rsidRPr="007F32A3">
        <w:rPr>
          <w:rFonts w:ascii="Times New Roman" w:hAnsi="Times New Roman" w:cs="Times New Roman"/>
          <w:shd w:val="clear" w:color="auto" w:fill="FFFFFF"/>
        </w:rPr>
        <w:t xml:space="preserve">, </w:t>
      </w:r>
      <w:r w:rsidR="00F74293" w:rsidRPr="007F32A3">
        <w:rPr>
          <w:rFonts w:ascii="Times New Roman" w:hAnsi="Times New Roman" w:cs="Times New Roman"/>
          <w:shd w:val="clear" w:color="auto" w:fill="FFFFFF"/>
        </w:rPr>
        <w:t xml:space="preserve">we read the content of each audit report and to identify if their have certain kind of insufficiency. Third, we gave each company their score of KAM disclosure (which fewer insufficiency means higher scores), and they were followed by a double check of another researcher. If </w:t>
      </w:r>
      <w:r w:rsidR="00490965" w:rsidRPr="007F32A3">
        <w:rPr>
          <w:rFonts w:ascii="Times New Roman" w:hAnsi="Times New Roman" w:cs="Times New Roman"/>
          <w:shd w:val="clear" w:color="auto" w:fill="FFFFFF"/>
        </w:rPr>
        <w:t>two researchers had</w:t>
      </w:r>
      <w:r w:rsidR="00F74293" w:rsidRPr="007F32A3">
        <w:rPr>
          <w:rFonts w:ascii="Times New Roman" w:hAnsi="Times New Roman" w:cs="Times New Roman"/>
          <w:shd w:val="clear" w:color="auto" w:fill="FFFFFF"/>
        </w:rPr>
        <w:t xml:space="preserve"> different </w:t>
      </w:r>
      <w:r w:rsidR="00490965" w:rsidRPr="007F32A3">
        <w:rPr>
          <w:rFonts w:ascii="Times New Roman" w:hAnsi="Times New Roman" w:cs="Times New Roman"/>
          <w:shd w:val="clear" w:color="auto" w:fill="FFFFFF"/>
        </w:rPr>
        <w:t xml:space="preserve">viewpoint of a certain disclosure, the disagreement(s) would be discussed to the other researcher to get the third opinion. In other words, KAM of each company were read </w:t>
      </w:r>
      <w:r w:rsidR="005E5117" w:rsidRPr="007F32A3">
        <w:rPr>
          <w:rFonts w:ascii="Times New Roman" w:hAnsi="Times New Roman" w:cs="Times New Roman"/>
          <w:shd w:val="clear" w:color="auto" w:fill="FFFFFF"/>
        </w:rPr>
        <w:t xml:space="preserve">and evaluated by at least two researchers, and some of them may be read and </w:t>
      </w:r>
      <w:r w:rsidR="00F81CA1" w:rsidRPr="007F32A3">
        <w:rPr>
          <w:rFonts w:ascii="Times New Roman" w:hAnsi="Times New Roman" w:cs="Times New Roman"/>
          <w:shd w:val="clear" w:color="auto" w:fill="FFFFFF"/>
        </w:rPr>
        <w:t xml:space="preserve">evaluated </w:t>
      </w:r>
      <w:r w:rsidR="005E5117" w:rsidRPr="007F32A3">
        <w:rPr>
          <w:rFonts w:ascii="Times New Roman" w:hAnsi="Times New Roman" w:cs="Times New Roman"/>
          <w:shd w:val="clear" w:color="auto" w:fill="FFFFFF"/>
        </w:rPr>
        <w:t>by three.</w:t>
      </w:r>
      <w:r w:rsidR="00F81CA1" w:rsidRPr="007F32A3">
        <w:rPr>
          <w:rFonts w:ascii="Times New Roman" w:hAnsi="Times New Roman" w:cs="Times New Roman"/>
          <w:shd w:val="clear" w:color="auto" w:fill="FFFFFF"/>
        </w:rPr>
        <w:t xml:space="preserve"> Therefore, we believe that the evaluation of KAM disclosure of this </w:t>
      </w:r>
      <w:r w:rsidR="00F81CA1" w:rsidRPr="007F32A3">
        <w:rPr>
          <w:rFonts w:ascii="Times New Roman" w:hAnsi="Times New Roman" w:cs="Times New Roman"/>
          <w:shd w:val="clear" w:color="auto" w:fill="FFFFFF"/>
        </w:rPr>
        <w:lastRenderedPageBreak/>
        <w:t xml:space="preserve">study is creditable and convinced. </w:t>
      </w:r>
      <w:r w:rsidR="00FE56BA" w:rsidRPr="007F32A3">
        <w:rPr>
          <w:rFonts w:ascii="Times New Roman" w:hAnsi="Times New Roman" w:cs="Times New Roman"/>
          <w:shd w:val="clear" w:color="auto" w:fill="FFFFFF"/>
        </w:rPr>
        <w:t>Data of other variables are obtain</w:t>
      </w:r>
      <w:r w:rsidR="00993144" w:rsidRPr="007F32A3">
        <w:rPr>
          <w:rFonts w:ascii="Times New Roman" w:hAnsi="Times New Roman" w:cs="Times New Roman"/>
          <w:shd w:val="clear" w:color="auto" w:fill="FFFFFF"/>
        </w:rPr>
        <w:t>ed</w:t>
      </w:r>
      <w:r w:rsidR="00FE56BA" w:rsidRPr="007F32A3">
        <w:rPr>
          <w:rFonts w:ascii="Times New Roman" w:hAnsi="Times New Roman" w:cs="Times New Roman"/>
          <w:shd w:val="clear" w:color="auto" w:fill="FFFFFF"/>
        </w:rPr>
        <w:t xml:space="preserve"> </w:t>
      </w:r>
      <w:r w:rsidR="00FE56BA" w:rsidRPr="007F32A3">
        <w:rPr>
          <w:rFonts w:ascii="Times New Roman" w:eastAsia="標楷體" w:hAnsi="Times New Roman" w:cs="Times New Roman"/>
          <w:kern w:val="0"/>
          <w:shd w:val="clear" w:color="auto" w:fill="FFFFFF"/>
        </w:rPr>
        <w:t xml:space="preserve">from </w:t>
      </w:r>
      <w:r w:rsidR="00993144" w:rsidRPr="007F32A3">
        <w:rPr>
          <w:rFonts w:ascii="Times New Roman" w:eastAsia="標楷體" w:hAnsi="Times New Roman" w:cs="Times New Roman"/>
          <w:i/>
          <w:kern w:val="0"/>
          <w:shd w:val="clear" w:color="auto" w:fill="FFFFFF"/>
        </w:rPr>
        <w:t>Taiwan Economic Journal</w:t>
      </w:r>
      <w:r w:rsidR="00993144" w:rsidRPr="007F32A3">
        <w:rPr>
          <w:rFonts w:ascii="Times New Roman" w:eastAsia="標楷體" w:hAnsi="Times New Roman" w:cs="Times New Roman"/>
          <w:kern w:val="0"/>
          <w:shd w:val="clear" w:color="auto" w:fill="FFFFFF"/>
        </w:rPr>
        <w:t xml:space="preserve"> (</w:t>
      </w:r>
      <w:r w:rsidR="00FE56BA" w:rsidRPr="007F32A3">
        <w:rPr>
          <w:rFonts w:ascii="Times New Roman" w:eastAsia="標楷體" w:hAnsi="Times New Roman" w:cs="Times New Roman"/>
          <w:i/>
          <w:kern w:val="0"/>
          <w:shd w:val="clear" w:color="auto" w:fill="FFFFFF"/>
        </w:rPr>
        <w:t>TEJ</w:t>
      </w:r>
      <w:r w:rsidR="00993144" w:rsidRPr="007F32A3">
        <w:rPr>
          <w:rFonts w:ascii="Times New Roman" w:eastAsia="標楷體" w:hAnsi="Times New Roman" w:cs="Times New Roman"/>
          <w:kern w:val="0"/>
          <w:shd w:val="clear" w:color="auto" w:fill="FFFFFF"/>
        </w:rPr>
        <w:t>)</w:t>
      </w:r>
      <w:r w:rsidR="00993144" w:rsidRPr="007F32A3">
        <w:rPr>
          <w:rFonts w:ascii="Times New Roman" w:eastAsia="標楷體" w:hAnsi="Times New Roman" w:cs="Times New Roman"/>
          <w:i/>
          <w:kern w:val="0"/>
          <w:shd w:val="clear" w:color="auto" w:fill="FFFFFF"/>
        </w:rPr>
        <w:t xml:space="preserve"> </w:t>
      </w:r>
      <w:r w:rsidR="00993144" w:rsidRPr="007F32A3">
        <w:rPr>
          <w:rFonts w:ascii="Times New Roman" w:eastAsia="標楷體" w:hAnsi="Times New Roman" w:cs="Times New Roman"/>
          <w:kern w:val="0"/>
          <w:shd w:val="clear" w:color="auto" w:fill="FFFFFF"/>
        </w:rPr>
        <w:t>Database.</w:t>
      </w:r>
    </w:p>
    <w:p w:rsidR="00AE3D06" w:rsidRPr="007F32A3" w:rsidRDefault="00993144" w:rsidP="0061290E">
      <w:pPr>
        <w:snapToGrid w:val="0"/>
        <w:spacing w:beforeLines="50" w:before="180" w:afterLines="50" w:after="180" w:line="480" w:lineRule="auto"/>
        <w:ind w:firstLineChars="200" w:firstLine="480"/>
        <w:jc w:val="both"/>
        <w:rPr>
          <w:rFonts w:ascii="Times New Roman" w:eastAsia="標楷體" w:hAnsi="Times New Roman" w:cs="Times New Roman"/>
          <w:kern w:val="0"/>
          <w:szCs w:val="24"/>
          <w:shd w:val="clear" w:color="auto" w:fill="FFFFFF"/>
        </w:rPr>
      </w:pPr>
      <w:r w:rsidRPr="007F32A3">
        <w:rPr>
          <w:rFonts w:ascii="Times New Roman" w:eastAsia="標楷體" w:hAnsi="Times New Roman" w:cs="Times New Roman"/>
          <w:kern w:val="0"/>
          <w:shd w:val="clear" w:color="auto" w:fill="FFFFFF"/>
        </w:rPr>
        <w:t>For sampling</w:t>
      </w:r>
      <w:r w:rsidR="00FE56BA" w:rsidRPr="007F32A3">
        <w:rPr>
          <w:rFonts w:ascii="Times New Roman" w:eastAsia="標楷體" w:hAnsi="Times New Roman" w:cs="Times New Roman"/>
          <w:kern w:val="0"/>
          <w:shd w:val="clear" w:color="auto" w:fill="FFFFFF"/>
        </w:rPr>
        <w:t xml:space="preserve">, </w:t>
      </w:r>
      <w:r w:rsidRPr="007F32A3">
        <w:rPr>
          <w:rFonts w:ascii="Times New Roman" w:eastAsia="標楷體" w:hAnsi="Times New Roman" w:cs="Times New Roman"/>
          <w:kern w:val="0"/>
          <w:shd w:val="clear" w:color="auto" w:fill="FFFFFF"/>
        </w:rPr>
        <w:t xml:space="preserve">we utilize a sample of Taiwan listed companies with available data in </w:t>
      </w:r>
      <w:r w:rsidRPr="007F32A3">
        <w:rPr>
          <w:rFonts w:ascii="Times New Roman" w:eastAsia="標楷體" w:hAnsi="Times New Roman" w:cs="Times New Roman"/>
          <w:i/>
          <w:kern w:val="0"/>
          <w:shd w:val="clear" w:color="auto" w:fill="FFFFFF"/>
        </w:rPr>
        <w:t>TEJ</w:t>
      </w:r>
      <w:r w:rsidRPr="007F32A3">
        <w:rPr>
          <w:rFonts w:ascii="Times New Roman" w:eastAsia="標楷體" w:hAnsi="Times New Roman" w:cs="Times New Roman"/>
          <w:kern w:val="0"/>
          <w:shd w:val="clear" w:color="auto" w:fill="FFFFFF"/>
        </w:rPr>
        <w:t xml:space="preserve"> of year </w:t>
      </w:r>
      <w:r w:rsidR="00AE3D06" w:rsidRPr="007F32A3">
        <w:rPr>
          <w:rFonts w:ascii="Times New Roman" w:eastAsia="標楷體" w:hAnsi="Times New Roman" w:cs="Times New Roman"/>
          <w:kern w:val="0"/>
          <w:shd w:val="clear" w:color="auto" w:fill="FFFFFF"/>
        </w:rPr>
        <w:t>2016</w:t>
      </w:r>
      <w:r w:rsidRPr="007F32A3">
        <w:rPr>
          <w:rFonts w:ascii="Times New Roman" w:eastAsia="標楷體" w:hAnsi="Times New Roman" w:cs="Times New Roman"/>
          <w:kern w:val="0"/>
          <w:shd w:val="clear" w:color="auto" w:fill="FFFFFF"/>
        </w:rPr>
        <w:t>. We</w:t>
      </w:r>
      <w:r w:rsidR="00AE3D06" w:rsidRPr="007F32A3">
        <w:rPr>
          <w:rFonts w:ascii="Times New Roman" w:eastAsia="標楷體" w:hAnsi="Times New Roman" w:cs="Times New Roman"/>
          <w:kern w:val="0"/>
          <w:shd w:val="clear" w:color="auto" w:fill="FFFFFF"/>
        </w:rPr>
        <w:t xml:space="preserve"> </w:t>
      </w:r>
      <w:r w:rsidRPr="007F32A3">
        <w:rPr>
          <w:rFonts w:ascii="Times New Roman" w:eastAsia="標楷體" w:hAnsi="Times New Roman" w:cs="Times New Roman"/>
          <w:kern w:val="0"/>
          <w:shd w:val="clear" w:color="auto" w:fill="FFFFFF"/>
        </w:rPr>
        <w:t xml:space="preserve">first </w:t>
      </w:r>
      <w:r w:rsidR="00AE3D06" w:rsidRPr="007F32A3">
        <w:rPr>
          <w:rFonts w:ascii="Times New Roman" w:eastAsia="標楷體" w:hAnsi="Times New Roman" w:cs="Times New Roman"/>
          <w:kern w:val="0"/>
          <w:shd w:val="clear" w:color="auto" w:fill="FFFFFF"/>
        </w:rPr>
        <w:t xml:space="preserve">delete </w:t>
      </w:r>
      <w:r w:rsidRPr="007F32A3">
        <w:rPr>
          <w:rFonts w:ascii="Times New Roman" w:eastAsia="標楷體" w:hAnsi="Times New Roman" w:cs="Times New Roman"/>
          <w:kern w:val="0"/>
          <w:shd w:val="clear" w:color="auto" w:fill="FFFFFF"/>
        </w:rPr>
        <w:t>TDR companies and companies in</w:t>
      </w:r>
      <w:r w:rsidR="00AE3D06" w:rsidRPr="007F32A3">
        <w:rPr>
          <w:rFonts w:ascii="Times New Roman" w:eastAsia="標楷體" w:hAnsi="Times New Roman" w:cs="Times New Roman"/>
          <w:kern w:val="0"/>
          <w:shd w:val="clear" w:color="auto" w:fill="FFFFFF"/>
        </w:rPr>
        <w:t xml:space="preserve"> financial institutions since they have different company characteristics and audit requirement from other industries in the nature. Following, we eliminate observations that do not have sufficient </w:t>
      </w:r>
      <w:r w:rsidR="006D60F3" w:rsidRPr="007F32A3">
        <w:rPr>
          <w:rFonts w:ascii="Times New Roman" w:eastAsia="標楷體" w:hAnsi="Times New Roman" w:cs="Times New Roman"/>
          <w:kern w:val="0"/>
          <w:shd w:val="clear" w:color="auto" w:fill="FFFFFF"/>
        </w:rPr>
        <w:t xml:space="preserve">KAM, </w:t>
      </w:r>
      <w:r w:rsidR="00AE3D06" w:rsidRPr="007F32A3">
        <w:rPr>
          <w:rFonts w:ascii="Times New Roman" w:eastAsia="標楷體" w:hAnsi="Times New Roman" w:cs="Times New Roman"/>
          <w:kern w:val="0"/>
          <w:shd w:val="clear" w:color="auto" w:fill="FFFFFF"/>
        </w:rPr>
        <w:t>auditor</w:t>
      </w:r>
      <w:r w:rsidR="006D60F3" w:rsidRPr="007F32A3">
        <w:rPr>
          <w:rFonts w:ascii="Times New Roman" w:eastAsia="標楷體" w:hAnsi="Times New Roman" w:cs="Times New Roman"/>
          <w:kern w:val="0"/>
          <w:shd w:val="clear" w:color="auto" w:fill="FFFFFF"/>
        </w:rPr>
        <w:t>,</w:t>
      </w:r>
      <w:r w:rsidR="00AE3D06" w:rsidRPr="007F32A3">
        <w:rPr>
          <w:rFonts w:ascii="Times New Roman" w:eastAsia="標楷體" w:hAnsi="Times New Roman" w:cs="Times New Roman"/>
          <w:kern w:val="0"/>
          <w:shd w:val="clear" w:color="auto" w:fill="FFFFFF"/>
        </w:rPr>
        <w:t xml:space="preserve"> or required financial data. After applying the above criteria, we obtain a total sample with 1,</w:t>
      </w:r>
      <w:r w:rsidR="006D60F3" w:rsidRPr="007F32A3">
        <w:rPr>
          <w:rFonts w:ascii="Times New Roman" w:eastAsia="標楷體" w:hAnsi="Times New Roman" w:cs="Times New Roman"/>
          <w:kern w:val="0"/>
          <w:shd w:val="clear" w:color="auto" w:fill="FFFFFF"/>
        </w:rPr>
        <w:t>558</w:t>
      </w:r>
      <w:r w:rsidR="00AE3D06" w:rsidRPr="007F32A3">
        <w:rPr>
          <w:rFonts w:ascii="Times New Roman" w:eastAsia="標楷體" w:hAnsi="Times New Roman" w:cs="Times New Roman"/>
          <w:kern w:val="0"/>
          <w:shd w:val="clear" w:color="auto" w:fill="FFFFFF"/>
        </w:rPr>
        <w:t xml:space="preserve"> companies. </w:t>
      </w:r>
      <w:r w:rsidR="00083C0C" w:rsidRPr="007F32A3">
        <w:rPr>
          <w:rFonts w:ascii="Times New Roman" w:eastAsia="標楷體" w:hAnsi="Times New Roman" w:cs="Times New Roman"/>
          <w:kern w:val="0"/>
          <w:shd w:val="clear" w:color="auto" w:fill="FFFFFF"/>
        </w:rPr>
        <w:t xml:space="preserve">The sample selection process is presented in Panel A of </w:t>
      </w:r>
      <w:r w:rsidR="00AE3D06" w:rsidRPr="007F32A3">
        <w:rPr>
          <w:rFonts w:ascii="Times New Roman" w:eastAsia="標楷體" w:hAnsi="Times New Roman" w:cs="Times New Roman"/>
          <w:kern w:val="0"/>
          <w:shd w:val="clear" w:color="auto" w:fill="FFFFFF"/>
        </w:rPr>
        <w:t>Table 1</w:t>
      </w:r>
      <w:r w:rsidR="008A4323" w:rsidRPr="007F32A3">
        <w:rPr>
          <w:rFonts w:ascii="Times New Roman" w:eastAsia="標楷體" w:hAnsi="Times New Roman" w:cs="Times New Roman"/>
          <w:kern w:val="0"/>
          <w:shd w:val="clear" w:color="auto" w:fill="FFFFFF"/>
        </w:rPr>
        <w:t xml:space="preserve">. </w:t>
      </w:r>
      <w:r w:rsidR="00083C0C" w:rsidRPr="007F32A3">
        <w:rPr>
          <w:rFonts w:ascii="Times New Roman" w:eastAsia="標楷體" w:hAnsi="Times New Roman" w:cs="Times New Roman"/>
          <w:kern w:val="0"/>
          <w:shd w:val="clear" w:color="auto" w:fill="FFFFFF"/>
        </w:rPr>
        <w:t>Panel B</w:t>
      </w:r>
      <w:r w:rsidR="008A4323" w:rsidRPr="007F32A3">
        <w:rPr>
          <w:rFonts w:ascii="Times New Roman" w:eastAsia="標楷體" w:hAnsi="Times New Roman" w:cs="Times New Roman"/>
          <w:kern w:val="0"/>
          <w:shd w:val="clear" w:color="auto" w:fill="FFFFFF"/>
        </w:rPr>
        <w:t xml:space="preserve"> of Table 1</w:t>
      </w:r>
      <w:r w:rsidR="00083C0C" w:rsidRPr="007F32A3">
        <w:rPr>
          <w:rFonts w:ascii="Times New Roman" w:eastAsia="標楷體" w:hAnsi="Times New Roman" w:cs="Times New Roman"/>
          <w:kern w:val="0"/>
          <w:shd w:val="clear" w:color="auto" w:fill="FFFFFF"/>
        </w:rPr>
        <w:t xml:space="preserve"> shows the industry distribution of sample companies. </w:t>
      </w:r>
      <w:r w:rsidR="008A4323" w:rsidRPr="007F32A3">
        <w:rPr>
          <w:rFonts w:ascii="Times New Roman" w:eastAsia="標楷體" w:hAnsi="Times New Roman" w:cs="Times New Roman"/>
          <w:kern w:val="0"/>
          <w:shd w:val="clear" w:color="auto" w:fill="FFFFFF"/>
        </w:rPr>
        <w:t>Panel B of reveals that the KAM disclosure scores of industries fall between 3 and 4 on average. The highest score is 4 points for the chemical industry, and the lowest is 3 points for wire industry. The result suggests that in the first year of KAM disclosure requirements, there is still room</w:t>
      </w:r>
      <w:r w:rsidR="008A4323" w:rsidRPr="007F32A3">
        <w:rPr>
          <w:rFonts w:ascii="Times New Roman" w:eastAsia="標楷體" w:hAnsi="Times New Roman" w:cs="Times New Roman"/>
          <w:kern w:val="0"/>
          <w:szCs w:val="24"/>
          <w:shd w:val="clear" w:color="auto" w:fill="FFFFFF"/>
        </w:rPr>
        <w:t xml:space="preserve"> for improvement as a whole.</w:t>
      </w:r>
    </w:p>
    <w:p w:rsidR="0082130A" w:rsidRPr="007F32A3" w:rsidRDefault="00597341" w:rsidP="00275560">
      <w:pPr>
        <w:snapToGrid w:val="0"/>
        <w:spacing w:beforeLines="50" w:before="180" w:afterLines="50" w:after="180" w:line="480" w:lineRule="auto"/>
        <w:jc w:val="center"/>
        <w:rPr>
          <w:rFonts w:ascii="Times New Roman" w:eastAsia="標楷體" w:hAnsi="Times New Roman" w:cs="Times New Roman"/>
          <w:kern w:val="0"/>
          <w:szCs w:val="24"/>
        </w:rPr>
      </w:pPr>
      <w:r w:rsidRPr="007F32A3">
        <w:rPr>
          <w:rFonts w:ascii="Times New Roman" w:eastAsia="標楷體" w:hAnsi="Times New Roman" w:cs="Times New Roman"/>
          <w:kern w:val="0"/>
          <w:szCs w:val="24"/>
          <w:shd w:val="clear" w:color="auto" w:fill="FFFFFF"/>
        </w:rPr>
        <w:t>【</w:t>
      </w:r>
      <w:r w:rsidRPr="007F32A3">
        <w:rPr>
          <w:rFonts w:ascii="Times New Roman" w:eastAsia="標楷體" w:hAnsi="Times New Roman" w:cs="Times New Roman"/>
          <w:kern w:val="0"/>
          <w:szCs w:val="24"/>
          <w:shd w:val="clear" w:color="auto" w:fill="FFFFFF"/>
        </w:rPr>
        <w:t>Insert Table 1 Here</w:t>
      </w:r>
      <w:r w:rsidRPr="007F32A3">
        <w:rPr>
          <w:rFonts w:ascii="Times New Roman" w:eastAsia="標楷體" w:hAnsi="Times New Roman" w:cs="Times New Roman"/>
          <w:kern w:val="0"/>
          <w:szCs w:val="24"/>
          <w:shd w:val="clear" w:color="auto" w:fill="FFFFFF"/>
        </w:rPr>
        <w:t>】</w:t>
      </w:r>
    </w:p>
    <w:p w:rsidR="0082130A" w:rsidRPr="007F32A3" w:rsidRDefault="0082130A" w:rsidP="0082130A">
      <w:pPr>
        <w:pStyle w:val="af"/>
        <w:overflowPunct w:val="0"/>
        <w:snapToGrid w:val="0"/>
        <w:spacing w:beforeLines="50" w:before="180" w:afterLines="50" w:after="180" w:line="480" w:lineRule="auto"/>
        <w:ind w:leftChars="0" w:left="0"/>
        <w:jc w:val="center"/>
        <w:rPr>
          <w:rFonts w:ascii="Times New Roman" w:eastAsia="標楷體" w:hAnsi="Times New Roman" w:cs="Times New Roman"/>
          <w:b/>
          <w:bCs/>
          <w:szCs w:val="24"/>
        </w:rPr>
      </w:pPr>
      <w:r w:rsidRPr="007F32A3">
        <w:rPr>
          <w:rFonts w:ascii="Times New Roman" w:eastAsia="標楷體" w:hAnsi="Times New Roman" w:cs="Times New Roman"/>
          <w:b/>
          <w:bCs/>
          <w:kern w:val="0"/>
          <w:szCs w:val="24"/>
        </w:rPr>
        <w:t>IV. Empirical Results</w:t>
      </w:r>
    </w:p>
    <w:p w:rsidR="0082130A" w:rsidRPr="007F32A3" w:rsidRDefault="0082130A" w:rsidP="0082130A">
      <w:pPr>
        <w:overflowPunct w:val="0"/>
        <w:autoSpaceDE w:val="0"/>
        <w:autoSpaceDN w:val="0"/>
        <w:adjustRightInd w:val="0"/>
        <w:snapToGrid w:val="0"/>
        <w:spacing w:beforeLines="50" w:before="180" w:afterLines="50" w:after="180" w:line="480" w:lineRule="auto"/>
        <w:rPr>
          <w:rFonts w:ascii="Times New Roman" w:eastAsia="標楷體" w:hAnsi="Times New Roman" w:cs="Times New Roman"/>
          <w:b/>
          <w:bCs/>
          <w:kern w:val="0"/>
          <w:szCs w:val="24"/>
        </w:rPr>
      </w:pPr>
      <w:r w:rsidRPr="007F32A3">
        <w:rPr>
          <w:rFonts w:ascii="Times New Roman" w:eastAsia="標楷體" w:hAnsi="Times New Roman" w:cs="Times New Roman"/>
          <w:b/>
          <w:bCs/>
          <w:kern w:val="0"/>
          <w:szCs w:val="24"/>
        </w:rPr>
        <w:t>Descriptive Statistics</w:t>
      </w:r>
    </w:p>
    <w:p w:rsidR="00D019E4" w:rsidRPr="007F32A3" w:rsidRDefault="00597341" w:rsidP="0082130A">
      <w:pPr>
        <w:snapToGrid w:val="0"/>
        <w:spacing w:beforeLines="50" w:before="180" w:afterLines="50" w:after="180" w:line="480" w:lineRule="auto"/>
        <w:ind w:firstLineChars="200" w:firstLine="480"/>
        <w:jc w:val="both"/>
        <w:rPr>
          <w:rFonts w:ascii="Times New Roman" w:eastAsia="標楷體" w:hAnsi="Times New Roman" w:cs="Times New Roman"/>
          <w:kern w:val="0"/>
          <w:shd w:val="clear" w:color="auto" w:fill="FFFFFF"/>
        </w:rPr>
      </w:pPr>
      <w:r w:rsidRPr="007F32A3">
        <w:rPr>
          <w:rFonts w:ascii="Times New Roman" w:eastAsia="標楷體" w:hAnsi="Times New Roman" w:cs="Times New Roman"/>
          <w:kern w:val="0"/>
          <w:shd w:val="clear" w:color="auto" w:fill="FFFFFF"/>
        </w:rPr>
        <w:t xml:space="preserve">Table 2 presents the descriptive statistics and difference test of </w:t>
      </w:r>
      <w:r w:rsidR="00EC3102" w:rsidRPr="007F32A3">
        <w:rPr>
          <w:rFonts w:ascii="Times New Roman" w:eastAsia="標楷體" w:hAnsi="Times New Roman" w:cs="Times New Roman"/>
          <w:kern w:val="0"/>
          <w:shd w:val="clear" w:color="auto" w:fill="FFFFFF"/>
        </w:rPr>
        <w:t xml:space="preserve">sample </w:t>
      </w:r>
      <w:r w:rsidR="00C029E2" w:rsidRPr="007F32A3">
        <w:rPr>
          <w:rFonts w:ascii="Times New Roman" w:eastAsia="標楷體" w:hAnsi="Times New Roman" w:cs="Times New Roman"/>
          <w:kern w:val="0"/>
          <w:shd w:val="clear" w:color="auto" w:fill="FFFFFF"/>
        </w:rPr>
        <w:t>companies.</w:t>
      </w:r>
      <w:r w:rsidR="00D152DE" w:rsidRPr="007F32A3">
        <w:rPr>
          <w:rFonts w:ascii="Times New Roman" w:eastAsia="標楷體" w:hAnsi="Times New Roman" w:cs="Times New Roman"/>
          <w:kern w:val="0"/>
          <w:shd w:val="clear" w:color="auto" w:fill="FFFFFF"/>
        </w:rPr>
        <w:t xml:space="preserve"> Panel A of Table 2 shows that the mean of </w:t>
      </w:r>
      <w:r w:rsidR="00D152DE" w:rsidRPr="007F32A3">
        <w:rPr>
          <w:rFonts w:ascii="Times New Roman" w:eastAsia="標楷體" w:hAnsi="Times New Roman" w:cs="Times New Roman"/>
          <w:i/>
          <w:kern w:val="0"/>
          <w:shd w:val="clear" w:color="auto" w:fill="FFFFFF"/>
        </w:rPr>
        <w:t>HQKAM</w:t>
      </w:r>
      <w:r w:rsidR="00D152DE" w:rsidRPr="007F32A3">
        <w:rPr>
          <w:rFonts w:ascii="Times New Roman" w:eastAsia="標楷體" w:hAnsi="Times New Roman" w:cs="Times New Roman"/>
          <w:kern w:val="0"/>
          <w:shd w:val="clear" w:color="auto" w:fill="FFFFFF"/>
        </w:rPr>
        <w:t xml:space="preserve"> is 0.438, which represents that about 44% of sample companies are classified to have higher </w:t>
      </w:r>
      <w:r w:rsidR="00FD5589" w:rsidRPr="007F32A3">
        <w:rPr>
          <w:rFonts w:ascii="Times New Roman" w:eastAsia="標楷體" w:hAnsi="Times New Roman" w:cs="Times New Roman"/>
          <w:kern w:val="0"/>
          <w:shd w:val="clear" w:color="auto" w:fill="FFFFFF"/>
        </w:rPr>
        <w:t>Content quality of KAM disclosure</w:t>
      </w:r>
      <w:r w:rsidR="00D152DE" w:rsidRPr="007F32A3">
        <w:rPr>
          <w:rFonts w:ascii="Times New Roman" w:eastAsia="標楷體" w:hAnsi="Times New Roman" w:cs="Times New Roman"/>
          <w:kern w:val="0"/>
          <w:shd w:val="clear" w:color="auto" w:fill="FFFFFF"/>
        </w:rPr>
        <w:t xml:space="preserve">. In addition, the mean of </w:t>
      </w:r>
      <w:r w:rsidR="00D152DE" w:rsidRPr="007F32A3">
        <w:rPr>
          <w:rFonts w:ascii="Times New Roman" w:eastAsia="標楷體" w:hAnsi="Times New Roman" w:cs="Times New Roman"/>
          <w:i/>
          <w:kern w:val="0"/>
          <w:shd w:val="clear" w:color="auto" w:fill="FFFFFF"/>
        </w:rPr>
        <w:t>KAM</w:t>
      </w:r>
      <w:r w:rsidR="00D152DE" w:rsidRPr="007F32A3">
        <w:rPr>
          <w:rFonts w:ascii="Times New Roman" w:eastAsia="標楷體" w:hAnsi="Times New Roman" w:cs="Times New Roman"/>
          <w:kern w:val="0"/>
          <w:shd w:val="clear" w:color="auto" w:fill="FFFFFF"/>
        </w:rPr>
        <w:t xml:space="preserve"> is 3.376 reveals that, on average, sample companies get only about 60% </w:t>
      </w:r>
      <w:r w:rsidR="00EE18AE" w:rsidRPr="007F32A3">
        <w:rPr>
          <w:rFonts w:ascii="Times New Roman" w:eastAsia="標楷體" w:hAnsi="Times New Roman" w:cs="Times New Roman"/>
          <w:kern w:val="0"/>
          <w:shd w:val="clear" w:color="auto" w:fill="FFFFFF"/>
        </w:rPr>
        <w:t xml:space="preserve">(3.376 / 6) </w:t>
      </w:r>
      <w:r w:rsidR="00D152DE" w:rsidRPr="007F32A3">
        <w:rPr>
          <w:rFonts w:ascii="Times New Roman" w:eastAsia="標楷體" w:hAnsi="Times New Roman" w:cs="Times New Roman"/>
          <w:kern w:val="0"/>
          <w:shd w:val="clear" w:color="auto" w:fill="FFFFFF"/>
        </w:rPr>
        <w:t>of the total KAM disclosure scores that we used to evaluate</w:t>
      </w:r>
      <w:r w:rsidR="00EE18AE" w:rsidRPr="007F32A3">
        <w:rPr>
          <w:rFonts w:ascii="Times New Roman" w:eastAsia="標楷體" w:hAnsi="Times New Roman" w:cs="Times New Roman"/>
          <w:kern w:val="0"/>
          <w:shd w:val="clear" w:color="auto" w:fill="FFFFFF"/>
        </w:rPr>
        <w:t>; and it exposes that in the first year of KAM disclosure requirements, a lot of auditors may not “ready” for providing adequate KAMs in their audit reports.</w:t>
      </w:r>
      <w:r w:rsidR="007613D1" w:rsidRPr="007F32A3">
        <w:rPr>
          <w:rFonts w:ascii="Times New Roman" w:eastAsia="標楷體" w:hAnsi="Times New Roman" w:cs="Times New Roman"/>
          <w:kern w:val="0"/>
          <w:shd w:val="clear" w:color="auto" w:fill="FFFFFF"/>
        </w:rPr>
        <w:t xml:space="preserve"> The mean of the indicator variable of industry specialist audit partner (</w:t>
      </w:r>
      <w:r w:rsidR="007613D1" w:rsidRPr="007F32A3">
        <w:rPr>
          <w:rFonts w:ascii="Times New Roman" w:eastAsia="標楷體" w:hAnsi="Times New Roman" w:cs="Times New Roman"/>
          <w:i/>
          <w:kern w:val="0"/>
          <w:shd w:val="clear" w:color="auto" w:fill="FFFFFF"/>
        </w:rPr>
        <w:t>SPE</w:t>
      </w:r>
      <w:r w:rsidR="007613D1" w:rsidRPr="007F32A3">
        <w:rPr>
          <w:rFonts w:ascii="Times New Roman" w:eastAsia="標楷體" w:hAnsi="Times New Roman" w:cs="Times New Roman"/>
          <w:kern w:val="0"/>
          <w:shd w:val="clear" w:color="auto" w:fill="FFFFFF"/>
        </w:rPr>
        <w:t>)</w:t>
      </w:r>
      <w:r w:rsidR="00EE18AE" w:rsidRPr="007F32A3">
        <w:rPr>
          <w:rFonts w:ascii="Times New Roman" w:eastAsia="標楷體" w:hAnsi="Times New Roman" w:cs="Times New Roman"/>
          <w:kern w:val="0"/>
          <w:shd w:val="clear" w:color="auto" w:fill="FFFFFF"/>
        </w:rPr>
        <w:t xml:space="preserve"> </w:t>
      </w:r>
      <w:r w:rsidR="007613D1" w:rsidRPr="007F32A3">
        <w:rPr>
          <w:rFonts w:ascii="Times New Roman" w:eastAsia="標楷體" w:hAnsi="Times New Roman" w:cs="Times New Roman"/>
          <w:kern w:val="0"/>
          <w:shd w:val="clear" w:color="auto" w:fill="FFFFFF"/>
        </w:rPr>
        <w:t>and big N audit firms (</w:t>
      </w:r>
      <w:r w:rsidR="007613D1" w:rsidRPr="007F32A3">
        <w:rPr>
          <w:rFonts w:ascii="Times New Roman" w:eastAsia="標楷體" w:hAnsi="Times New Roman" w:cs="Times New Roman"/>
          <w:i/>
          <w:kern w:val="0"/>
          <w:shd w:val="clear" w:color="auto" w:fill="FFFFFF"/>
        </w:rPr>
        <w:t>BIGN</w:t>
      </w:r>
      <w:r w:rsidR="007613D1" w:rsidRPr="007F32A3">
        <w:rPr>
          <w:rFonts w:ascii="Times New Roman" w:eastAsia="標楷體" w:hAnsi="Times New Roman" w:cs="Times New Roman"/>
          <w:kern w:val="0"/>
          <w:shd w:val="clear" w:color="auto" w:fill="FFFFFF"/>
        </w:rPr>
        <w:t xml:space="preserve">) is 0.05 and 0.878, respectively; which show that about 5% of sample companies are audited by industrial specialist audit partners, and nearly 90% of sample companies are audited by </w:t>
      </w:r>
      <w:r w:rsidR="007613D1" w:rsidRPr="007F32A3">
        <w:rPr>
          <w:rFonts w:ascii="Times New Roman" w:eastAsia="標楷體" w:hAnsi="Times New Roman" w:cs="Times New Roman"/>
          <w:kern w:val="0"/>
          <w:shd w:val="clear" w:color="auto" w:fill="FFFFFF"/>
        </w:rPr>
        <w:lastRenderedPageBreak/>
        <w:t>big N audit firms.</w:t>
      </w:r>
      <w:r w:rsidR="00A924FA" w:rsidRPr="007F32A3">
        <w:rPr>
          <w:rFonts w:ascii="Times New Roman" w:eastAsia="標楷體" w:hAnsi="Times New Roman" w:cs="Times New Roman"/>
          <w:kern w:val="0"/>
          <w:shd w:val="clear" w:color="auto" w:fill="FFFFFF"/>
        </w:rPr>
        <w:t xml:space="preserve"> Panel B of Table 2 presents the </w:t>
      </w:r>
      <w:r w:rsidR="00EC3102" w:rsidRPr="007F32A3">
        <w:rPr>
          <w:rFonts w:ascii="Times New Roman" w:eastAsia="標楷體" w:hAnsi="Times New Roman" w:cs="Times New Roman"/>
          <w:kern w:val="0"/>
          <w:shd w:val="clear" w:color="auto" w:fill="FFFFFF"/>
        </w:rPr>
        <w:t>difference test of companies with high KAM disclosure scores (</w:t>
      </w:r>
      <w:r w:rsidR="00EC3102" w:rsidRPr="007F32A3">
        <w:rPr>
          <w:rFonts w:ascii="Times New Roman" w:eastAsia="標楷體" w:hAnsi="Times New Roman" w:cs="Times New Roman"/>
          <w:i/>
          <w:kern w:val="0"/>
          <w:shd w:val="clear" w:color="auto" w:fill="FFFFFF"/>
        </w:rPr>
        <w:t>HQKAM</w:t>
      </w:r>
      <w:r w:rsidR="00EC3102" w:rsidRPr="007F32A3">
        <w:rPr>
          <w:rFonts w:ascii="Times New Roman" w:eastAsia="標楷體" w:hAnsi="Times New Roman" w:cs="Times New Roman"/>
          <w:kern w:val="0"/>
          <w:shd w:val="clear" w:color="auto" w:fill="FFFFFF"/>
        </w:rPr>
        <w:t>) and low KAM disclosure scores (</w:t>
      </w:r>
      <w:r w:rsidR="00EC3102" w:rsidRPr="007F32A3">
        <w:rPr>
          <w:rFonts w:ascii="Times New Roman" w:eastAsia="標楷體" w:hAnsi="Times New Roman" w:cs="Times New Roman"/>
          <w:i/>
          <w:kern w:val="0"/>
          <w:shd w:val="clear" w:color="auto" w:fill="FFFFFF"/>
        </w:rPr>
        <w:t>LQKAM</w:t>
      </w:r>
      <w:r w:rsidR="00EC3102" w:rsidRPr="007F32A3">
        <w:rPr>
          <w:rFonts w:ascii="Times New Roman" w:eastAsia="標楷體" w:hAnsi="Times New Roman" w:cs="Times New Roman"/>
          <w:kern w:val="0"/>
          <w:shd w:val="clear" w:color="auto" w:fill="FFFFFF"/>
        </w:rPr>
        <w:t>) which are divided by the median of the KAM disclosure scores of sample companies</w:t>
      </w:r>
      <w:r w:rsidR="00D152DE" w:rsidRPr="007F32A3">
        <w:rPr>
          <w:rFonts w:ascii="Times New Roman" w:eastAsia="標楷體" w:hAnsi="Times New Roman" w:cs="Times New Roman"/>
          <w:kern w:val="0"/>
          <w:shd w:val="clear" w:color="auto" w:fill="FFFFFF"/>
        </w:rPr>
        <w:t xml:space="preserve">, </w:t>
      </w:r>
      <w:r w:rsidR="00EC3102" w:rsidRPr="007F32A3">
        <w:rPr>
          <w:rFonts w:ascii="Times New Roman" w:eastAsia="標楷體" w:hAnsi="Times New Roman" w:cs="Times New Roman"/>
          <w:kern w:val="0"/>
          <w:shd w:val="clear" w:color="auto" w:fill="FFFFFF"/>
        </w:rPr>
        <w:t xml:space="preserve">and </w:t>
      </w:r>
      <w:r w:rsidR="00D152DE" w:rsidRPr="007F32A3">
        <w:rPr>
          <w:rFonts w:ascii="Times New Roman" w:eastAsia="標楷體" w:hAnsi="Times New Roman" w:cs="Times New Roman"/>
          <w:kern w:val="0"/>
          <w:shd w:val="clear" w:color="auto" w:fill="FFFFFF"/>
        </w:rPr>
        <w:t xml:space="preserve">companies with higher KAM disclosure scores are </w:t>
      </w:r>
      <w:r w:rsidR="00EC3102" w:rsidRPr="007F32A3">
        <w:rPr>
          <w:rFonts w:ascii="Times New Roman" w:eastAsia="標楷體" w:hAnsi="Times New Roman" w:cs="Times New Roman"/>
          <w:kern w:val="0"/>
          <w:shd w:val="clear" w:color="auto" w:fill="FFFFFF"/>
        </w:rPr>
        <w:t>considered</w:t>
      </w:r>
      <w:r w:rsidR="00D152DE" w:rsidRPr="007F32A3">
        <w:rPr>
          <w:rFonts w:ascii="Times New Roman" w:eastAsia="標楷體" w:hAnsi="Times New Roman" w:cs="Times New Roman"/>
          <w:kern w:val="0"/>
          <w:shd w:val="clear" w:color="auto" w:fill="FFFFFF"/>
        </w:rPr>
        <w:t xml:space="preserve"> to have better </w:t>
      </w:r>
      <w:r w:rsidR="00FD5589" w:rsidRPr="007F32A3">
        <w:rPr>
          <w:rFonts w:ascii="Times New Roman" w:eastAsia="標楷體" w:hAnsi="Times New Roman" w:cs="Times New Roman"/>
          <w:kern w:val="0"/>
          <w:shd w:val="clear" w:color="auto" w:fill="FFFFFF"/>
        </w:rPr>
        <w:t>content quality of KAM disclosure</w:t>
      </w:r>
      <w:r w:rsidR="00D152DE" w:rsidRPr="007F32A3">
        <w:rPr>
          <w:rFonts w:ascii="Times New Roman" w:eastAsia="標楷體" w:hAnsi="Times New Roman" w:cs="Times New Roman"/>
          <w:kern w:val="0"/>
          <w:shd w:val="clear" w:color="auto" w:fill="FFFFFF"/>
        </w:rPr>
        <w:t xml:space="preserve"> in their audit reports. </w:t>
      </w:r>
      <w:r w:rsidR="00D40D1E" w:rsidRPr="007F32A3">
        <w:rPr>
          <w:rFonts w:ascii="Times New Roman" w:eastAsia="標楷體" w:hAnsi="Times New Roman" w:cs="Times New Roman"/>
          <w:kern w:val="0"/>
          <w:shd w:val="clear" w:color="auto" w:fill="FFFFFF"/>
        </w:rPr>
        <w:t>One can see that, the median of the indicator variable of industry specialist audit partner (</w:t>
      </w:r>
      <w:r w:rsidR="00D40D1E" w:rsidRPr="007F32A3">
        <w:rPr>
          <w:rFonts w:ascii="Times New Roman" w:eastAsia="標楷體" w:hAnsi="Times New Roman" w:cs="Times New Roman"/>
          <w:i/>
          <w:kern w:val="0"/>
          <w:shd w:val="clear" w:color="auto" w:fill="FFFFFF"/>
        </w:rPr>
        <w:t>SPE</w:t>
      </w:r>
      <w:r w:rsidR="00D40D1E" w:rsidRPr="007F32A3">
        <w:rPr>
          <w:rFonts w:ascii="Times New Roman" w:eastAsia="標楷體" w:hAnsi="Times New Roman" w:cs="Times New Roman"/>
          <w:kern w:val="0"/>
          <w:shd w:val="clear" w:color="auto" w:fill="FFFFFF"/>
        </w:rPr>
        <w:t xml:space="preserve">) in companies with higher KAM disclosure scores is significant higher than that in companies with lower KAM disclosure scores, which preliminary suggests that the quality of KAM communicated by industry specialist audit partners is higher than that of non-specialist ones. </w:t>
      </w:r>
      <w:r w:rsidR="00CE411D" w:rsidRPr="007F32A3">
        <w:rPr>
          <w:rFonts w:ascii="Times New Roman" w:eastAsia="標楷體" w:hAnsi="Times New Roman" w:cs="Times New Roman"/>
          <w:kern w:val="0"/>
          <w:shd w:val="clear" w:color="auto" w:fill="FFFFFF"/>
        </w:rPr>
        <w:t xml:space="preserve">In addition, Panel B of Table 2 also shows that the complexity of operations, growth opportunities, and leverage of audit clients are also significantly different between companies with high and low KAM disclosure scores, which advocates that the </w:t>
      </w:r>
      <w:r w:rsidR="00FD5589" w:rsidRPr="007F32A3">
        <w:rPr>
          <w:rFonts w:ascii="Times New Roman" w:eastAsia="標楷體" w:hAnsi="Times New Roman" w:cs="Times New Roman"/>
          <w:kern w:val="0"/>
          <w:shd w:val="clear" w:color="auto" w:fill="FFFFFF"/>
        </w:rPr>
        <w:t>content quality of KAM disclosure</w:t>
      </w:r>
      <w:r w:rsidR="00CE411D" w:rsidRPr="007F32A3">
        <w:rPr>
          <w:rFonts w:ascii="Times New Roman" w:eastAsia="標楷體" w:hAnsi="Times New Roman" w:cs="Times New Roman"/>
          <w:kern w:val="0"/>
          <w:shd w:val="clear" w:color="auto" w:fill="FFFFFF"/>
        </w:rPr>
        <w:t xml:space="preserve"> of audits will be different among companies with different operation</w:t>
      </w:r>
      <w:r w:rsidR="002B4458" w:rsidRPr="007F32A3">
        <w:rPr>
          <w:rFonts w:ascii="Times New Roman" w:eastAsia="標楷體" w:hAnsi="Times New Roman" w:cs="Times New Roman"/>
          <w:kern w:val="0"/>
          <w:shd w:val="clear" w:color="auto" w:fill="FFFFFF"/>
        </w:rPr>
        <w:t xml:space="preserve"> and business</w:t>
      </w:r>
      <w:r w:rsidR="00CE411D" w:rsidRPr="007F32A3">
        <w:rPr>
          <w:rFonts w:ascii="Times New Roman" w:eastAsia="標楷體" w:hAnsi="Times New Roman" w:cs="Times New Roman"/>
          <w:kern w:val="0"/>
          <w:shd w:val="clear" w:color="auto" w:fill="FFFFFF"/>
        </w:rPr>
        <w:t xml:space="preserve"> risk</w:t>
      </w:r>
      <w:r w:rsidR="002B4458" w:rsidRPr="007F32A3">
        <w:rPr>
          <w:rFonts w:ascii="Times New Roman" w:eastAsia="標楷體" w:hAnsi="Times New Roman" w:cs="Times New Roman"/>
          <w:kern w:val="0"/>
          <w:shd w:val="clear" w:color="auto" w:fill="FFFFFF"/>
        </w:rPr>
        <w:t>s</w:t>
      </w:r>
      <w:r w:rsidR="00CE411D" w:rsidRPr="007F32A3">
        <w:rPr>
          <w:rFonts w:ascii="Times New Roman" w:eastAsia="標楷體" w:hAnsi="Times New Roman" w:cs="Times New Roman"/>
          <w:kern w:val="0"/>
          <w:shd w:val="clear" w:color="auto" w:fill="FFFFFF"/>
        </w:rPr>
        <w:t>.</w:t>
      </w:r>
    </w:p>
    <w:p w:rsidR="00BB732A" w:rsidRPr="007F32A3" w:rsidRDefault="00D019E4" w:rsidP="00BB732A">
      <w:pPr>
        <w:overflowPunct w:val="0"/>
        <w:snapToGrid w:val="0"/>
        <w:spacing w:before="50" w:after="50" w:line="480" w:lineRule="auto"/>
        <w:ind w:firstLineChars="200" w:firstLine="480"/>
        <w:jc w:val="both"/>
        <w:rPr>
          <w:rFonts w:ascii="Times New Roman" w:eastAsia="標楷體" w:hAnsi="Times New Roman" w:cs="Times New Roman"/>
          <w:kern w:val="0"/>
          <w:shd w:val="clear" w:color="auto" w:fill="FFFFFF"/>
        </w:rPr>
      </w:pPr>
      <w:r w:rsidRPr="007F32A3">
        <w:rPr>
          <w:rFonts w:ascii="Times New Roman" w:eastAsia="標楷體" w:hAnsi="Times New Roman" w:cs="Times New Roman"/>
          <w:kern w:val="0"/>
          <w:shd w:val="clear" w:color="auto" w:fill="FFFFFF"/>
        </w:rPr>
        <w:t>Table 3 shows the Spearman correlation between variables. From the table, one can see that the indicator variable of industry specialist audit partner (</w:t>
      </w:r>
      <w:r w:rsidRPr="007F32A3">
        <w:rPr>
          <w:rFonts w:ascii="Times New Roman" w:eastAsia="標楷體" w:hAnsi="Times New Roman" w:cs="Times New Roman"/>
          <w:i/>
          <w:kern w:val="0"/>
          <w:shd w:val="clear" w:color="auto" w:fill="FFFFFF"/>
        </w:rPr>
        <w:t>SPE</w:t>
      </w:r>
      <w:r w:rsidRPr="007F32A3">
        <w:rPr>
          <w:rFonts w:ascii="Times New Roman" w:eastAsia="標楷體" w:hAnsi="Times New Roman" w:cs="Times New Roman"/>
          <w:kern w:val="0"/>
          <w:shd w:val="clear" w:color="auto" w:fill="FFFFFF"/>
        </w:rPr>
        <w:t>) is significantly positively associated with both the indicator of higher quality KAM disclosure (</w:t>
      </w:r>
      <w:r w:rsidRPr="007F32A3">
        <w:rPr>
          <w:rFonts w:ascii="Times New Roman" w:eastAsia="標楷體" w:hAnsi="Times New Roman" w:cs="Times New Roman"/>
          <w:i/>
          <w:kern w:val="0"/>
          <w:shd w:val="clear" w:color="auto" w:fill="FFFFFF"/>
        </w:rPr>
        <w:t>HQKAM</w:t>
      </w:r>
      <w:r w:rsidRPr="007F32A3">
        <w:rPr>
          <w:rFonts w:ascii="Times New Roman" w:eastAsia="標楷體" w:hAnsi="Times New Roman" w:cs="Times New Roman"/>
          <w:kern w:val="0"/>
          <w:shd w:val="clear" w:color="auto" w:fill="FFFFFF"/>
        </w:rPr>
        <w:t>) and the original score of KAM disclosure (</w:t>
      </w:r>
      <w:r w:rsidRPr="007F32A3">
        <w:rPr>
          <w:rFonts w:ascii="Times New Roman" w:eastAsia="標楷體" w:hAnsi="Times New Roman" w:cs="Times New Roman"/>
          <w:i/>
          <w:kern w:val="0"/>
          <w:shd w:val="clear" w:color="auto" w:fill="FFFFFF"/>
        </w:rPr>
        <w:t>KAM</w:t>
      </w:r>
      <w:r w:rsidRPr="007F32A3">
        <w:rPr>
          <w:rFonts w:ascii="Times New Roman" w:eastAsia="標楷體" w:hAnsi="Times New Roman" w:cs="Times New Roman"/>
          <w:kern w:val="0"/>
          <w:shd w:val="clear" w:color="auto" w:fill="FFFFFF"/>
        </w:rPr>
        <w:t xml:space="preserve">), which suggests that industrial audit partners are likely to have higher </w:t>
      </w:r>
      <w:r w:rsidR="00FD5589" w:rsidRPr="007F32A3">
        <w:rPr>
          <w:rFonts w:ascii="Times New Roman" w:eastAsia="標楷體" w:hAnsi="Times New Roman" w:cs="Times New Roman"/>
          <w:kern w:val="0"/>
          <w:shd w:val="clear" w:color="auto" w:fill="FFFFFF"/>
        </w:rPr>
        <w:t>content quality of KAM disclosure</w:t>
      </w:r>
      <w:r w:rsidRPr="007F32A3">
        <w:rPr>
          <w:rFonts w:ascii="Times New Roman" w:eastAsia="標楷體" w:hAnsi="Times New Roman" w:cs="Times New Roman"/>
          <w:kern w:val="0"/>
          <w:shd w:val="clear" w:color="auto" w:fill="FFFFFF"/>
        </w:rPr>
        <w:t xml:space="preserve">. </w:t>
      </w:r>
      <w:r w:rsidR="006C3321" w:rsidRPr="007F32A3">
        <w:rPr>
          <w:rFonts w:ascii="Times New Roman" w:eastAsia="標楷體" w:hAnsi="Times New Roman" w:cs="Times New Roman"/>
          <w:kern w:val="0"/>
          <w:shd w:val="clear" w:color="auto" w:fill="FFFFFF"/>
        </w:rPr>
        <w:t xml:space="preserve">That is, from Table 3, the positive association between the </w:t>
      </w:r>
      <w:r w:rsidR="00F939EE" w:rsidRPr="007F32A3">
        <w:rPr>
          <w:rFonts w:ascii="Times New Roman" w:eastAsia="標楷體" w:hAnsi="Times New Roman" w:cs="Times New Roman"/>
          <w:kern w:val="0"/>
          <w:shd w:val="clear" w:color="auto" w:fill="FFFFFF"/>
        </w:rPr>
        <w:t>industry specialist audit partner and KAM disclosure</w:t>
      </w:r>
      <w:r w:rsidR="006C3321" w:rsidRPr="007F32A3">
        <w:rPr>
          <w:rFonts w:ascii="Times New Roman" w:eastAsia="標楷體" w:hAnsi="Times New Roman" w:cs="Times New Roman"/>
          <w:kern w:val="0"/>
          <w:shd w:val="clear" w:color="auto" w:fill="FFFFFF"/>
        </w:rPr>
        <w:t xml:space="preserve"> quality is supported by these preliminary results. </w:t>
      </w:r>
    </w:p>
    <w:p w:rsidR="00BB732A" w:rsidRPr="007F32A3" w:rsidRDefault="00BB732A" w:rsidP="00BB732A">
      <w:pPr>
        <w:snapToGrid w:val="0"/>
        <w:spacing w:beforeLines="50" w:before="180" w:afterLines="50" w:after="180" w:line="480" w:lineRule="auto"/>
        <w:jc w:val="center"/>
        <w:rPr>
          <w:rFonts w:ascii="Times New Roman" w:eastAsia="標楷體" w:hAnsi="Times New Roman" w:cs="Times New Roman"/>
          <w:kern w:val="0"/>
          <w:shd w:val="clear" w:color="auto" w:fill="FFFFFF"/>
        </w:rPr>
      </w:pPr>
      <w:r w:rsidRPr="007F32A3">
        <w:rPr>
          <w:rFonts w:ascii="Times New Roman" w:eastAsia="標楷體" w:hAnsi="Times New Roman" w:cs="Times New Roman"/>
          <w:kern w:val="0"/>
          <w:shd w:val="clear" w:color="auto" w:fill="FFFFFF"/>
        </w:rPr>
        <w:t>【</w:t>
      </w:r>
      <w:r w:rsidRPr="007F32A3">
        <w:rPr>
          <w:rFonts w:ascii="Times New Roman" w:eastAsia="標楷體" w:hAnsi="Times New Roman" w:cs="Times New Roman"/>
          <w:kern w:val="0"/>
          <w:shd w:val="clear" w:color="auto" w:fill="FFFFFF"/>
        </w:rPr>
        <w:t>Insert Table 2 and Table 3 Here</w:t>
      </w:r>
      <w:r w:rsidRPr="007F32A3">
        <w:rPr>
          <w:rFonts w:ascii="Times New Roman" w:eastAsia="標楷體" w:hAnsi="Times New Roman" w:cs="Times New Roman"/>
          <w:kern w:val="0"/>
          <w:shd w:val="clear" w:color="auto" w:fill="FFFFFF"/>
        </w:rPr>
        <w:t>】</w:t>
      </w:r>
    </w:p>
    <w:p w:rsidR="006C3321" w:rsidRPr="007F32A3" w:rsidRDefault="006C3321" w:rsidP="0061290E">
      <w:pPr>
        <w:widowControl/>
        <w:overflowPunct w:val="0"/>
        <w:snapToGrid w:val="0"/>
        <w:spacing w:beforeLines="50" w:before="180" w:afterLines="50" w:after="180" w:line="480" w:lineRule="auto"/>
        <w:jc w:val="both"/>
        <w:rPr>
          <w:rFonts w:ascii="Times New Roman" w:eastAsia="標楷體" w:hAnsi="Times New Roman" w:cs="Times New Roman"/>
          <w:b/>
          <w:bCs/>
          <w:noProof/>
          <w:spacing w:val="2"/>
        </w:rPr>
      </w:pPr>
      <w:r w:rsidRPr="007F32A3">
        <w:rPr>
          <w:rFonts w:ascii="Times New Roman" w:eastAsia="標楷體" w:hAnsi="Times New Roman" w:cs="Times New Roman"/>
          <w:b/>
          <w:bCs/>
          <w:noProof/>
          <w:spacing w:val="2"/>
        </w:rPr>
        <w:t xml:space="preserve">Associations between </w:t>
      </w:r>
      <w:r w:rsidR="00F939EE" w:rsidRPr="007F32A3">
        <w:rPr>
          <w:rFonts w:ascii="Times New Roman" w:eastAsia="標楷體" w:hAnsi="Times New Roman" w:cs="Times New Roman"/>
          <w:b/>
          <w:bCs/>
          <w:noProof/>
          <w:spacing w:val="2"/>
        </w:rPr>
        <w:t>industry specialist auditor and KAM quality</w:t>
      </w:r>
    </w:p>
    <w:p w:rsidR="00F47F60" w:rsidRPr="007F32A3" w:rsidRDefault="00F47F60" w:rsidP="0061290E">
      <w:pPr>
        <w:overflowPunct w:val="0"/>
        <w:snapToGrid w:val="0"/>
        <w:spacing w:beforeLines="50" w:before="180" w:afterLines="50" w:after="180" w:line="480" w:lineRule="auto"/>
        <w:ind w:firstLineChars="200" w:firstLine="488"/>
        <w:jc w:val="both"/>
        <w:rPr>
          <w:rFonts w:ascii="Times New Roman" w:eastAsia="標楷體" w:hAnsi="Times New Roman" w:cs="Times New Roman"/>
          <w:spacing w:val="2"/>
          <w:szCs w:val="24"/>
        </w:rPr>
      </w:pPr>
      <w:r w:rsidRPr="007F32A3">
        <w:rPr>
          <w:rFonts w:ascii="Times New Roman" w:eastAsia="標楷體" w:hAnsi="Times New Roman" w:cs="Times New Roman"/>
          <w:spacing w:val="2"/>
          <w:kern w:val="0"/>
          <w:szCs w:val="24"/>
        </w:rPr>
        <w:t>Table 4 presents the regression results for our main hypothesis that explore the association between the industry specialist auditor and KAM disclosure quality.</w:t>
      </w:r>
      <w:r w:rsidR="00C32F5D" w:rsidRPr="007F32A3">
        <w:rPr>
          <w:rFonts w:ascii="Times New Roman" w:eastAsia="標楷體" w:hAnsi="Times New Roman" w:cs="Times New Roman"/>
          <w:spacing w:val="2"/>
          <w:kern w:val="0"/>
          <w:szCs w:val="24"/>
        </w:rPr>
        <w:t xml:space="preserve"> Since HQKAM is a dummy variable and KAM is an ordinal variable, this study processed the logistic regression and ordinal logit regression to explore the research question of this study, respectively. </w:t>
      </w:r>
      <w:r w:rsidRPr="007F32A3">
        <w:rPr>
          <w:rFonts w:ascii="Times New Roman" w:eastAsia="標楷體" w:hAnsi="Times New Roman" w:cs="Times New Roman"/>
          <w:spacing w:val="2"/>
          <w:kern w:val="0"/>
          <w:szCs w:val="24"/>
        </w:rPr>
        <w:t xml:space="preserve"> </w:t>
      </w:r>
    </w:p>
    <w:p w:rsidR="00BB732A" w:rsidRPr="007F32A3" w:rsidRDefault="00F47F60" w:rsidP="00BB732A">
      <w:pPr>
        <w:snapToGrid w:val="0"/>
        <w:spacing w:beforeLines="50" w:before="180" w:afterLines="50" w:after="180" w:line="480" w:lineRule="auto"/>
        <w:ind w:firstLineChars="200" w:firstLine="488"/>
        <w:jc w:val="both"/>
        <w:rPr>
          <w:rFonts w:ascii="Times New Roman" w:eastAsia="標楷體" w:hAnsi="Times New Roman" w:cs="Times New Roman"/>
          <w:kern w:val="0"/>
          <w:shd w:val="clear" w:color="auto" w:fill="FFFFFF"/>
        </w:rPr>
      </w:pPr>
      <w:r w:rsidRPr="007F32A3">
        <w:rPr>
          <w:rFonts w:ascii="Times New Roman" w:eastAsia="標楷體" w:hAnsi="Times New Roman" w:cs="Times New Roman"/>
          <w:spacing w:val="2"/>
          <w:szCs w:val="24"/>
        </w:rPr>
        <w:lastRenderedPageBreak/>
        <w:t xml:space="preserve">Column (1) of Table 6 shows that, for the logistic regression, </w:t>
      </w:r>
      <w:r w:rsidRPr="007F32A3">
        <w:rPr>
          <w:rFonts w:ascii="Times New Roman" w:eastAsia="標楷體" w:hAnsi="Times New Roman" w:cs="Times New Roman"/>
          <w:spacing w:val="2"/>
          <w:kern w:val="0"/>
          <w:szCs w:val="24"/>
        </w:rPr>
        <w:t>the coefficients of the i</w:t>
      </w:r>
      <w:r w:rsidRPr="007F32A3">
        <w:rPr>
          <w:rFonts w:ascii="Times New Roman" w:eastAsia="標楷體" w:hAnsi="Times New Roman" w:cs="Times New Roman"/>
          <w:spacing w:val="2"/>
          <w:szCs w:val="24"/>
        </w:rPr>
        <w:t>ndicator variables of audited by industrial specialist audit partners (</w:t>
      </w:r>
      <w:r w:rsidRPr="007F32A3">
        <w:rPr>
          <w:rFonts w:ascii="Times New Roman" w:eastAsia="標楷體" w:hAnsi="Times New Roman" w:cs="Times New Roman"/>
          <w:i/>
          <w:spacing w:val="2"/>
          <w:szCs w:val="24"/>
        </w:rPr>
        <w:t>SPE</w:t>
      </w:r>
      <w:r w:rsidRPr="007F32A3">
        <w:rPr>
          <w:rFonts w:ascii="Times New Roman" w:eastAsia="標楷體" w:hAnsi="Times New Roman" w:cs="Times New Roman"/>
          <w:spacing w:val="2"/>
          <w:szCs w:val="24"/>
        </w:rPr>
        <w:t xml:space="preserve">) is significantly positively associated with </w:t>
      </w:r>
      <w:r w:rsidRPr="007F32A3">
        <w:rPr>
          <w:rFonts w:ascii="Times New Roman" w:eastAsia="標楷體" w:hAnsi="Times New Roman" w:cs="Times New Roman"/>
          <w:i/>
          <w:spacing w:val="2"/>
          <w:szCs w:val="24"/>
        </w:rPr>
        <w:t>HQKAM</w:t>
      </w:r>
      <w:r w:rsidRPr="007F32A3">
        <w:rPr>
          <w:rFonts w:ascii="Times New Roman" w:eastAsia="標楷體" w:hAnsi="Times New Roman" w:cs="Times New Roman"/>
          <w:spacing w:val="2"/>
          <w:szCs w:val="24"/>
        </w:rPr>
        <w:t xml:space="preserve">. </w:t>
      </w:r>
      <w:r w:rsidR="00C32F5D" w:rsidRPr="007F32A3">
        <w:rPr>
          <w:rFonts w:ascii="Times New Roman" w:eastAsia="標楷體" w:hAnsi="Times New Roman" w:cs="Times New Roman"/>
          <w:spacing w:val="2"/>
          <w:szCs w:val="24"/>
        </w:rPr>
        <w:t xml:space="preserve">Similar, the examination of ordinal logit regression, which presented in Column (2) of the table, shows a significant positive association between </w:t>
      </w:r>
      <w:r w:rsidR="00C32F5D" w:rsidRPr="007F32A3">
        <w:rPr>
          <w:rFonts w:ascii="Times New Roman" w:eastAsia="標楷體" w:hAnsi="Times New Roman" w:cs="Times New Roman"/>
          <w:i/>
          <w:spacing w:val="2"/>
          <w:szCs w:val="24"/>
        </w:rPr>
        <w:t>SPE</w:t>
      </w:r>
      <w:r w:rsidR="00C32F5D" w:rsidRPr="007F32A3">
        <w:rPr>
          <w:rFonts w:ascii="Times New Roman" w:eastAsia="標楷體" w:hAnsi="Times New Roman" w:cs="Times New Roman"/>
          <w:spacing w:val="2"/>
          <w:szCs w:val="24"/>
        </w:rPr>
        <w:t xml:space="preserve"> and </w:t>
      </w:r>
      <w:r w:rsidR="00C32F5D" w:rsidRPr="007F32A3">
        <w:rPr>
          <w:rFonts w:ascii="Times New Roman" w:eastAsia="標楷體" w:hAnsi="Times New Roman" w:cs="Times New Roman"/>
          <w:i/>
          <w:spacing w:val="2"/>
          <w:szCs w:val="24"/>
        </w:rPr>
        <w:t>KAM</w:t>
      </w:r>
      <w:r w:rsidR="00C32F5D" w:rsidRPr="007F32A3">
        <w:rPr>
          <w:rFonts w:ascii="Times New Roman" w:eastAsia="標楷體" w:hAnsi="Times New Roman" w:cs="Times New Roman"/>
          <w:spacing w:val="2"/>
          <w:szCs w:val="24"/>
        </w:rPr>
        <w:t xml:space="preserve">.  </w:t>
      </w:r>
      <w:r w:rsidRPr="007F32A3">
        <w:rPr>
          <w:rFonts w:ascii="Times New Roman" w:eastAsia="標楷體" w:hAnsi="Times New Roman" w:cs="Times New Roman"/>
          <w:spacing w:val="2"/>
          <w:szCs w:val="24"/>
        </w:rPr>
        <w:t xml:space="preserve">The findings support our hypothesis that </w:t>
      </w:r>
      <w:r w:rsidR="0061290E" w:rsidRPr="007F32A3">
        <w:rPr>
          <w:rFonts w:ascii="Times New Roman" w:eastAsia="標楷體" w:hAnsi="Times New Roman" w:cs="Times New Roman"/>
          <w:spacing w:val="2"/>
          <w:szCs w:val="24"/>
        </w:rPr>
        <w:t xml:space="preserve">compared with the content quality of KAM in an audit report that discussed by non-specialist auditors, the content quality of KAM is higher in the audit report that discussed by specialist auditors. This finding </w:t>
      </w:r>
      <w:r w:rsidR="0061290E" w:rsidRPr="007F32A3">
        <w:rPr>
          <w:rFonts w:ascii="Times New Roman" w:eastAsia="標楷體" w:hAnsi="Times New Roman" w:cs="Times New Roman"/>
          <w:spacing w:val="2"/>
          <w:kern w:val="0"/>
          <w:szCs w:val="24"/>
        </w:rPr>
        <w:t>provides evidence supporting</w:t>
      </w:r>
      <w:r w:rsidR="0061290E" w:rsidRPr="007F32A3">
        <w:rPr>
          <w:rFonts w:ascii="Times New Roman" w:eastAsia="標楷體" w:hAnsi="Times New Roman" w:cs="Times New Roman"/>
          <w:spacing w:val="2"/>
          <w:szCs w:val="24"/>
        </w:rPr>
        <w:t xml:space="preserve"> </w:t>
      </w:r>
      <w:r w:rsidR="0061290E" w:rsidRPr="007F32A3">
        <w:rPr>
          <w:rFonts w:ascii="Times New Roman" w:eastAsia="標楷體" w:hAnsi="Times New Roman" w:cs="Times New Roman"/>
          <w:spacing w:val="2"/>
          <w:kern w:val="0"/>
          <w:szCs w:val="24"/>
        </w:rPr>
        <w:t xml:space="preserve">prior studies of auditor industry specialist, those suggest industrial specialist auditors to provide higher quality for their audit work and information disclosure. </w:t>
      </w:r>
    </w:p>
    <w:p w:rsidR="00BB732A" w:rsidRPr="007F32A3" w:rsidRDefault="00BB732A" w:rsidP="00BB732A">
      <w:pPr>
        <w:snapToGrid w:val="0"/>
        <w:spacing w:beforeLines="50" w:before="180" w:afterLines="50" w:after="180" w:line="480" w:lineRule="auto"/>
        <w:jc w:val="center"/>
        <w:rPr>
          <w:rFonts w:ascii="Times New Roman" w:eastAsia="標楷體" w:hAnsi="Times New Roman" w:cs="Times New Roman"/>
          <w:kern w:val="0"/>
          <w:shd w:val="clear" w:color="auto" w:fill="FFFFFF"/>
        </w:rPr>
      </w:pPr>
      <w:r w:rsidRPr="007F32A3">
        <w:rPr>
          <w:rFonts w:ascii="Times New Roman" w:eastAsia="標楷體" w:hAnsi="Times New Roman" w:cs="Times New Roman"/>
          <w:kern w:val="0"/>
          <w:shd w:val="clear" w:color="auto" w:fill="FFFFFF"/>
        </w:rPr>
        <w:t>【</w:t>
      </w:r>
      <w:r w:rsidRPr="007F32A3">
        <w:rPr>
          <w:rFonts w:ascii="Times New Roman" w:eastAsia="標楷體" w:hAnsi="Times New Roman" w:cs="Times New Roman"/>
          <w:kern w:val="0"/>
          <w:shd w:val="clear" w:color="auto" w:fill="FFFFFF"/>
        </w:rPr>
        <w:t>Insert Table 4 Here</w:t>
      </w:r>
      <w:r w:rsidRPr="007F32A3">
        <w:rPr>
          <w:rFonts w:ascii="Times New Roman" w:eastAsia="標楷體" w:hAnsi="Times New Roman" w:cs="Times New Roman"/>
          <w:kern w:val="0"/>
          <w:shd w:val="clear" w:color="auto" w:fill="FFFFFF"/>
        </w:rPr>
        <w:t>】</w:t>
      </w:r>
    </w:p>
    <w:p w:rsidR="005331D8" w:rsidRPr="007F32A3" w:rsidRDefault="005331D8" w:rsidP="0061290E">
      <w:pPr>
        <w:pStyle w:val="2"/>
        <w:snapToGrid w:val="0"/>
        <w:spacing w:beforeLines="50" w:before="180" w:afterLines="50" w:after="180"/>
        <w:jc w:val="both"/>
        <w:rPr>
          <w:rFonts w:eastAsia="標楷體" w:cs="Times New Roman"/>
          <w:szCs w:val="24"/>
          <w:shd w:val="clear" w:color="auto" w:fill="FFFFFF"/>
        </w:rPr>
      </w:pPr>
      <w:r w:rsidRPr="007F32A3">
        <w:rPr>
          <w:rFonts w:eastAsia="標楷體" w:cs="Times New Roman"/>
          <w:szCs w:val="24"/>
          <w:shd w:val="clear" w:color="auto" w:fill="FFFFFF"/>
        </w:rPr>
        <w:t>Additional Tests</w:t>
      </w:r>
    </w:p>
    <w:p w:rsidR="005331D8" w:rsidRPr="007F32A3" w:rsidRDefault="005331D8" w:rsidP="0061290E">
      <w:pPr>
        <w:pStyle w:val="2"/>
        <w:snapToGrid w:val="0"/>
        <w:spacing w:beforeLines="50" w:before="180" w:afterLines="50" w:after="180"/>
        <w:jc w:val="both"/>
        <w:rPr>
          <w:rFonts w:eastAsia="標楷體" w:cs="Times New Roman"/>
          <w:i/>
          <w:szCs w:val="24"/>
          <w:shd w:val="clear" w:color="auto" w:fill="FFFFFF"/>
        </w:rPr>
      </w:pPr>
      <w:r w:rsidRPr="007F32A3">
        <w:rPr>
          <w:rFonts w:eastAsia="標楷體" w:cs="Times New Roman"/>
          <w:i/>
          <w:szCs w:val="24"/>
          <w:shd w:val="clear" w:color="auto" w:fill="FFFFFF"/>
        </w:rPr>
        <w:t xml:space="preserve">Does auditors’ client specific knowledge affect the </w:t>
      </w:r>
      <w:r w:rsidR="00A74046" w:rsidRPr="007F32A3">
        <w:rPr>
          <w:rFonts w:eastAsia="標楷體" w:cs="Times New Roman"/>
          <w:i/>
          <w:szCs w:val="24"/>
          <w:shd w:val="clear" w:color="auto" w:fill="FFFFFF"/>
        </w:rPr>
        <w:t>disclosure quality</w:t>
      </w:r>
      <w:r w:rsidRPr="007F32A3">
        <w:rPr>
          <w:rFonts w:eastAsia="標楷體" w:cs="Times New Roman"/>
          <w:i/>
          <w:szCs w:val="24"/>
          <w:shd w:val="clear" w:color="auto" w:fill="FFFFFF"/>
        </w:rPr>
        <w:t xml:space="preserve"> of KAMs? </w:t>
      </w:r>
    </w:p>
    <w:p w:rsidR="00DB2E18" w:rsidRPr="007F32A3" w:rsidRDefault="005331D8" w:rsidP="0061290E">
      <w:pPr>
        <w:pStyle w:val="2"/>
        <w:snapToGrid w:val="0"/>
        <w:spacing w:beforeLines="50" w:before="180" w:afterLines="50" w:after="180"/>
        <w:ind w:firstLineChars="200" w:firstLine="480"/>
        <w:jc w:val="both"/>
        <w:rPr>
          <w:rFonts w:eastAsia="新細明體" w:cs="Times New Roman"/>
          <w:shd w:val="clear" w:color="auto" w:fill="FFFFFF"/>
        </w:rPr>
      </w:pPr>
      <w:bookmarkStart w:id="1" w:name="_Toc262410211"/>
      <w:bookmarkStart w:id="2" w:name="_Toc262412071"/>
      <w:bookmarkStart w:id="3" w:name="_Toc262420997"/>
      <w:bookmarkStart w:id="4" w:name="_Toc262423988"/>
      <w:bookmarkStart w:id="5" w:name="_Toc262424171"/>
      <w:bookmarkStart w:id="6" w:name="_Toc262424591"/>
      <w:bookmarkStart w:id="7" w:name="_Toc262424778"/>
      <w:bookmarkStart w:id="8" w:name="_Toc262424921"/>
      <w:bookmarkStart w:id="9" w:name="_Toc262425414"/>
      <w:bookmarkStart w:id="10" w:name="_Toc266575437"/>
      <w:r w:rsidRPr="007F32A3">
        <w:rPr>
          <w:rFonts w:eastAsia="新細明體" w:cs="Times New Roman"/>
          <w:b w:val="0"/>
          <w:bCs w:val="0"/>
          <w:noProof w:val="0"/>
          <w:szCs w:val="24"/>
          <w:shd w:val="clear" w:color="auto" w:fill="FFFFFF"/>
        </w:rPr>
        <w:t>In determine the KAMs, the auditors have to consider the areas that contain a high risk of misrepresentation or material events that involve significant judgments of the management in the financial statements to identify areas of significant risk. In order to make such a judgment, in addition to discuss the significantly impact issues or transactions with the management and governing bodies extensively, the auditors to be familiar with the major economic, accounting, statutory, industrial or other developments that may affect their clients. For newly accept clients, auditors may have less knowledge about their business, and may influence their recognition</w:t>
      </w:r>
      <w:r w:rsidR="00A74046" w:rsidRPr="007F32A3">
        <w:rPr>
          <w:rFonts w:eastAsia="新細明體" w:cs="Times New Roman"/>
          <w:b w:val="0"/>
          <w:bCs w:val="0"/>
          <w:noProof w:val="0"/>
          <w:szCs w:val="24"/>
          <w:shd w:val="clear" w:color="auto" w:fill="FFFFFF"/>
        </w:rPr>
        <w:t xml:space="preserve"> and disclosure</w:t>
      </w:r>
      <w:r w:rsidRPr="007F32A3">
        <w:rPr>
          <w:rFonts w:eastAsia="新細明體" w:cs="Times New Roman"/>
          <w:b w:val="0"/>
          <w:bCs w:val="0"/>
          <w:noProof w:val="0"/>
          <w:szCs w:val="24"/>
          <w:shd w:val="clear" w:color="auto" w:fill="FFFFFF"/>
        </w:rPr>
        <w:t xml:space="preserve"> of KAMs</w:t>
      </w:r>
      <w:r w:rsidR="00A74046" w:rsidRPr="007F32A3">
        <w:rPr>
          <w:rFonts w:eastAsia="新細明體" w:cs="Times New Roman"/>
          <w:b w:val="0"/>
          <w:bCs w:val="0"/>
          <w:noProof w:val="0"/>
          <w:szCs w:val="24"/>
          <w:shd w:val="clear" w:color="auto" w:fill="FFFFFF"/>
        </w:rPr>
        <w:t xml:space="preserve"> as a result</w:t>
      </w:r>
      <w:r w:rsidRPr="007F32A3">
        <w:rPr>
          <w:rFonts w:eastAsia="新細明體" w:cs="Times New Roman"/>
          <w:b w:val="0"/>
          <w:bCs w:val="0"/>
          <w:noProof w:val="0"/>
          <w:szCs w:val="24"/>
          <w:shd w:val="clear" w:color="auto" w:fill="FFFFFF"/>
        </w:rPr>
        <w:t xml:space="preserve">. To address these considerations, we provide additional test for companies that change their auditors </w:t>
      </w:r>
      <w:r w:rsidR="00A74046" w:rsidRPr="007F32A3">
        <w:rPr>
          <w:rFonts w:eastAsia="新細明體" w:cs="Times New Roman"/>
          <w:b w:val="0"/>
          <w:bCs w:val="0"/>
          <w:noProof w:val="0"/>
          <w:szCs w:val="24"/>
          <w:shd w:val="clear" w:color="auto" w:fill="FFFFFF"/>
        </w:rPr>
        <w:t>this</w:t>
      </w:r>
      <w:r w:rsidRPr="007F32A3">
        <w:rPr>
          <w:rFonts w:eastAsia="新細明體" w:cs="Times New Roman"/>
          <w:b w:val="0"/>
          <w:bCs w:val="0"/>
          <w:noProof w:val="0"/>
          <w:szCs w:val="24"/>
          <w:shd w:val="clear" w:color="auto" w:fill="FFFFFF"/>
        </w:rPr>
        <w:t xml:space="preserve"> year.</w:t>
      </w:r>
      <w:r w:rsidRPr="007F32A3">
        <w:rPr>
          <w:rFonts w:eastAsia="新細明體" w:cs="Times New Roman"/>
          <w:shd w:val="clear" w:color="auto" w:fill="FFFFFF"/>
        </w:rPr>
        <w:t xml:space="preserve"> </w:t>
      </w:r>
      <w:bookmarkEnd w:id="1"/>
      <w:bookmarkEnd w:id="2"/>
      <w:bookmarkEnd w:id="3"/>
      <w:bookmarkEnd w:id="4"/>
      <w:bookmarkEnd w:id="5"/>
      <w:bookmarkEnd w:id="6"/>
      <w:bookmarkEnd w:id="7"/>
      <w:bookmarkEnd w:id="8"/>
      <w:bookmarkEnd w:id="9"/>
      <w:bookmarkEnd w:id="10"/>
    </w:p>
    <w:p w:rsidR="005331D8" w:rsidRPr="007F32A3" w:rsidRDefault="00DB2E18" w:rsidP="00FA56E3">
      <w:pPr>
        <w:pStyle w:val="2"/>
        <w:snapToGrid w:val="0"/>
        <w:spacing w:beforeLines="50" w:before="180" w:afterLines="50" w:after="180"/>
        <w:ind w:firstLineChars="200" w:firstLine="480"/>
        <w:jc w:val="both"/>
        <w:rPr>
          <w:rFonts w:cs="Times New Roman"/>
          <w:b w:val="0"/>
          <w:kern w:val="0"/>
          <w:shd w:val="clear" w:color="auto" w:fill="FFFFFF"/>
        </w:rPr>
      </w:pPr>
      <w:r w:rsidRPr="007F32A3">
        <w:rPr>
          <w:rFonts w:eastAsia="新細明體" w:cs="Times New Roman"/>
          <w:b w:val="0"/>
          <w:shd w:val="clear" w:color="auto" w:fill="FFFFFF"/>
        </w:rPr>
        <w:t>Table 5</w:t>
      </w:r>
      <w:r w:rsidR="005331D8" w:rsidRPr="007F32A3">
        <w:rPr>
          <w:rFonts w:cs="Times New Roman"/>
          <w:b w:val="0"/>
          <w:kern w:val="0"/>
          <w:shd w:val="clear" w:color="auto" w:fill="FFFFFF"/>
        </w:rPr>
        <w:t xml:space="preserve"> </w:t>
      </w:r>
      <w:r w:rsidRPr="007F32A3">
        <w:rPr>
          <w:rFonts w:cs="Times New Roman"/>
          <w:b w:val="0"/>
          <w:kern w:val="0"/>
          <w:shd w:val="clear" w:color="auto" w:fill="FFFFFF"/>
        </w:rPr>
        <w:t xml:space="preserve">present the results for considering the possible effects of auditor change on the assocation between auditor industry specialist and content quality of KAM disclosure. </w:t>
      </w:r>
      <w:r w:rsidR="00366C02" w:rsidRPr="007F32A3">
        <w:rPr>
          <w:rFonts w:cs="Times New Roman"/>
          <w:b w:val="0"/>
          <w:kern w:val="0"/>
          <w:shd w:val="clear" w:color="auto" w:fill="FFFFFF"/>
        </w:rPr>
        <w:t xml:space="preserve">Panel A displays sample companies with and without auditor change while Panel B contains only companies those change </w:t>
      </w:r>
      <w:r w:rsidR="00366C02" w:rsidRPr="007F32A3">
        <w:rPr>
          <w:rFonts w:cs="Times New Roman"/>
          <w:b w:val="0"/>
          <w:kern w:val="0"/>
          <w:shd w:val="clear" w:color="auto" w:fill="FFFFFF"/>
        </w:rPr>
        <w:lastRenderedPageBreak/>
        <w:t xml:space="preserve">their auditors in 2016. From Panel A one can find that, the positive association between </w:t>
      </w:r>
      <w:r w:rsidR="00366C02" w:rsidRPr="007F32A3">
        <w:rPr>
          <w:rFonts w:cs="Times New Roman"/>
          <w:b w:val="0"/>
          <w:i/>
          <w:kern w:val="0"/>
          <w:shd w:val="clear" w:color="auto" w:fill="FFFFFF"/>
        </w:rPr>
        <w:t>SPE</w:t>
      </w:r>
      <w:r w:rsidR="00366C02" w:rsidRPr="007F32A3">
        <w:rPr>
          <w:rFonts w:cs="Times New Roman"/>
          <w:b w:val="0"/>
          <w:kern w:val="0"/>
          <w:shd w:val="clear" w:color="auto" w:fill="FFFFFF"/>
        </w:rPr>
        <w:t xml:space="preserve"> and </w:t>
      </w:r>
      <w:r w:rsidR="00366C02" w:rsidRPr="007F32A3">
        <w:rPr>
          <w:rFonts w:cs="Times New Roman"/>
          <w:b w:val="0"/>
          <w:i/>
          <w:kern w:val="0"/>
          <w:shd w:val="clear" w:color="auto" w:fill="FFFFFF"/>
        </w:rPr>
        <w:t>KAM</w:t>
      </w:r>
      <w:r w:rsidR="00366C02" w:rsidRPr="007F32A3">
        <w:rPr>
          <w:rFonts w:cs="Times New Roman"/>
          <w:b w:val="0"/>
          <w:kern w:val="0"/>
          <w:shd w:val="clear" w:color="auto" w:fill="FFFFFF"/>
        </w:rPr>
        <w:t xml:space="preserve"> is significant only for companies that did not change their auditors for current</w:t>
      </w:r>
      <w:r w:rsidR="00A6552B" w:rsidRPr="007F32A3">
        <w:rPr>
          <w:rFonts w:cs="Times New Roman"/>
          <w:b w:val="0"/>
          <w:kern w:val="0"/>
          <w:shd w:val="clear" w:color="auto" w:fill="FFFFFF"/>
        </w:rPr>
        <w:t xml:space="preserve"> year</w:t>
      </w:r>
      <w:r w:rsidR="00366C02" w:rsidRPr="007F32A3">
        <w:rPr>
          <w:rFonts w:cs="Times New Roman"/>
          <w:b w:val="0"/>
          <w:kern w:val="0"/>
          <w:shd w:val="clear" w:color="auto" w:fill="FFFFFF"/>
        </w:rPr>
        <w:t>, which suggests that auditors’ client specific knowledg</w:t>
      </w:r>
      <w:r w:rsidR="009976C9" w:rsidRPr="007F32A3">
        <w:rPr>
          <w:rFonts w:cs="Times New Roman"/>
          <w:b w:val="0"/>
          <w:kern w:val="0"/>
          <w:shd w:val="clear" w:color="auto" w:fill="FFFFFF"/>
        </w:rPr>
        <w:t>e may affect the quality of KAM</w:t>
      </w:r>
      <w:r w:rsidR="00366C02" w:rsidRPr="007F32A3">
        <w:rPr>
          <w:rFonts w:cs="Times New Roman"/>
          <w:b w:val="0"/>
          <w:kern w:val="0"/>
          <w:shd w:val="clear" w:color="auto" w:fill="FFFFFF"/>
        </w:rPr>
        <w:t xml:space="preserve"> disclosure. However, Panel B, which include companies with auditor change only, shows that </w:t>
      </w:r>
      <w:r w:rsidR="00366C02" w:rsidRPr="007F32A3">
        <w:rPr>
          <w:rFonts w:cs="Times New Roman"/>
          <w:b w:val="0"/>
          <w:i/>
          <w:kern w:val="0"/>
          <w:shd w:val="clear" w:color="auto" w:fill="FFFFFF"/>
        </w:rPr>
        <w:t>SPE</w:t>
      </w:r>
      <w:r w:rsidR="00366C02" w:rsidRPr="007F32A3">
        <w:rPr>
          <w:rFonts w:cs="Times New Roman"/>
          <w:b w:val="0"/>
          <w:kern w:val="0"/>
          <w:shd w:val="clear" w:color="auto" w:fill="FFFFFF"/>
        </w:rPr>
        <w:t xml:space="preserve"> is </w:t>
      </w:r>
      <w:r w:rsidR="00A6552B" w:rsidRPr="007F32A3">
        <w:rPr>
          <w:rFonts w:cs="Times New Roman"/>
          <w:b w:val="0"/>
          <w:kern w:val="0"/>
          <w:shd w:val="clear" w:color="auto" w:fill="FFFFFF"/>
        </w:rPr>
        <w:t xml:space="preserve">the positive association between </w:t>
      </w:r>
      <w:r w:rsidR="00A6552B" w:rsidRPr="007F32A3">
        <w:rPr>
          <w:rFonts w:cs="Times New Roman"/>
          <w:b w:val="0"/>
          <w:i/>
          <w:kern w:val="0"/>
          <w:shd w:val="clear" w:color="auto" w:fill="FFFFFF"/>
        </w:rPr>
        <w:t>SPE</w:t>
      </w:r>
      <w:r w:rsidR="00A6552B" w:rsidRPr="007F32A3">
        <w:rPr>
          <w:rFonts w:cs="Times New Roman"/>
          <w:b w:val="0"/>
          <w:kern w:val="0"/>
          <w:shd w:val="clear" w:color="auto" w:fill="FFFFFF"/>
        </w:rPr>
        <w:t xml:space="preserve"> and </w:t>
      </w:r>
      <w:r w:rsidR="00A6552B" w:rsidRPr="007F32A3">
        <w:rPr>
          <w:rFonts w:cs="Times New Roman"/>
          <w:b w:val="0"/>
          <w:i/>
          <w:kern w:val="0"/>
          <w:shd w:val="clear" w:color="auto" w:fill="FFFFFF"/>
        </w:rPr>
        <w:t>KAM</w:t>
      </w:r>
      <w:r w:rsidR="00A6552B" w:rsidRPr="007F32A3">
        <w:rPr>
          <w:rFonts w:cs="Times New Roman"/>
          <w:b w:val="0"/>
          <w:kern w:val="0"/>
          <w:shd w:val="clear" w:color="auto" w:fill="FFFFFF"/>
        </w:rPr>
        <w:t xml:space="preserve"> is significant only for companies that change both of their auditors at the same time. </w:t>
      </w:r>
      <w:r w:rsidR="00FA56E3" w:rsidRPr="007F32A3">
        <w:rPr>
          <w:rFonts w:cs="Times New Roman"/>
          <w:b w:val="0"/>
          <w:kern w:val="0"/>
          <w:shd w:val="clear" w:color="auto" w:fill="FFFFFF"/>
        </w:rPr>
        <w:t>This study attribute this result to the fact that audit risk</w:t>
      </w:r>
      <w:r w:rsidR="00FA56E3" w:rsidRPr="007F32A3">
        <w:rPr>
          <w:rFonts w:cs="Times New Roman"/>
        </w:rPr>
        <w:t xml:space="preserve"> </w:t>
      </w:r>
      <w:r w:rsidR="00FA56E3" w:rsidRPr="007F32A3">
        <w:rPr>
          <w:rFonts w:eastAsiaTheme="minorEastAsia" w:cs="Times New Roman"/>
          <w:b w:val="0"/>
          <w:kern w:val="0"/>
          <w:shd w:val="clear" w:color="auto" w:fill="FFFFFF"/>
        </w:rPr>
        <w:t>is e</w:t>
      </w:r>
      <w:r w:rsidR="00FA56E3" w:rsidRPr="007F32A3">
        <w:rPr>
          <w:rFonts w:cs="Times New Roman"/>
          <w:b w:val="0"/>
          <w:kern w:val="0"/>
          <w:shd w:val="clear" w:color="auto" w:fill="FFFFFF"/>
        </w:rPr>
        <w:t xml:space="preserve">xpressively higher for clients that rotated both audit partners </w:t>
      </w:r>
      <w:r w:rsidR="00CC61A6" w:rsidRPr="007F32A3">
        <w:rPr>
          <w:rFonts w:cs="Times New Roman"/>
          <w:b w:val="0"/>
          <w:kern w:val="0"/>
          <w:shd w:val="clear" w:color="auto" w:fill="FFFFFF"/>
        </w:rPr>
        <w:t>at the same time</w:t>
      </w:r>
      <w:r w:rsidR="00FA56E3" w:rsidRPr="007F32A3">
        <w:rPr>
          <w:rFonts w:cs="Times New Roman"/>
          <w:b w:val="0"/>
          <w:kern w:val="0"/>
          <w:shd w:val="clear" w:color="auto" w:fill="FFFFFF"/>
        </w:rPr>
        <w:t>;</w:t>
      </w:r>
      <w:r w:rsidR="00CC61A6" w:rsidRPr="007F32A3">
        <w:rPr>
          <w:rFonts w:cs="Times New Roman"/>
          <w:b w:val="0"/>
          <w:kern w:val="0"/>
          <w:shd w:val="clear" w:color="auto" w:fill="FFFFFF"/>
        </w:rPr>
        <w:t xml:space="preserve"> </w:t>
      </w:r>
      <w:r w:rsidR="00FA56E3" w:rsidRPr="007F32A3">
        <w:rPr>
          <w:rFonts w:cs="Times New Roman"/>
          <w:b w:val="0"/>
          <w:kern w:val="0"/>
          <w:shd w:val="clear" w:color="auto" w:fill="FFFFFF"/>
        </w:rPr>
        <w:t xml:space="preserve">in order to reduce the risk of possible litigation in the future, the newly appointed </w:t>
      </w:r>
      <w:r w:rsidR="00CC61A6" w:rsidRPr="007F32A3">
        <w:rPr>
          <w:rFonts w:cs="Times New Roman"/>
          <w:b w:val="0"/>
          <w:kern w:val="0"/>
          <w:shd w:val="clear" w:color="auto" w:fill="FFFFFF"/>
        </w:rPr>
        <w:t xml:space="preserve">audit </w:t>
      </w:r>
      <w:r w:rsidR="00FA56E3" w:rsidRPr="007F32A3">
        <w:rPr>
          <w:rFonts w:cs="Times New Roman"/>
          <w:b w:val="0"/>
          <w:kern w:val="0"/>
          <w:shd w:val="clear" w:color="auto" w:fill="FFFFFF"/>
        </w:rPr>
        <w:t xml:space="preserve">team will more </w:t>
      </w:r>
      <w:r w:rsidR="00CC61A6" w:rsidRPr="007F32A3">
        <w:rPr>
          <w:rFonts w:cs="Times New Roman"/>
          <w:b w:val="0"/>
          <w:kern w:val="0"/>
          <w:shd w:val="clear" w:color="auto" w:fill="FFFFFF"/>
        </w:rPr>
        <w:t xml:space="preserve">suspiciously dealing with the </w:t>
      </w:r>
      <w:r w:rsidR="00FA56E3" w:rsidRPr="007F32A3">
        <w:rPr>
          <w:rFonts w:cs="Times New Roman"/>
          <w:b w:val="0"/>
          <w:kern w:val="0"/>
          <w:shd w:val="clear" w:color="auto" w:fill="FFFFFF"/>
        </w:rPr>
        <w:t xml:space="preserve">KAM </w:t>
      </w:r>
      <w:r w:rsidR="00CC61A6" w:rsidRPr="007F32A3">
        <w:rPr>
          <w:rFonts w:cs="Times New Roman"/>
          <w:b w:val="0"/>
          <w:kern w:val="0"/>
          <w:shd w:val="clear" w:color="auto" w:fill="FFFFFF"/>
        </w:rPr>
        <w:t>communication process with users of audit reports, and provide KAM with higher content quality as a result</w:t>
      </w:r>
      <w:r w:rsidR="00FA56E3" w:rsidRPr="007F32A3">
        <w:rPr>
          <w:rFonts w:cs="Times New Roman"/>
          <w:b w:val="0"/>
          <w:kern w:val="0"/>
          <w:shd w:val="clear" w:color="auto" w:fill="FFFFFF"/>
        </w:rPr>
        <w:t>.</w:t>
      </w:r>
    </w:p>
    <w:p w:rsidR="00B30920" w:rsidRPr="007F32A3" w:rsidRDefault="00B30920" w:rsidP="00B30920">
      <w:pPr>
        <w:snapToGrid w:val="0"/>
        <w:spacing w:beforeLines="50" w:before="180" w:afterLines="50" w:after="180" w:line="480" w:lineRule="auto"/>
        <w:ind w:firstLineChars="200" w:firstLine="480"/>
        <w:jc w:val="center"/>
        <w:rPr>
          <w:rFonts w:ascii="Times New Roman" w:eastAsia="標楷體" w:hAnsi="Times New Roman" w:cs="Times New Roman"/>
          <w:kern w:val="0"/>
          <w:shd w:val="clear" w:color="auto" w:fill="FFFFFF"/>
        </w:rPr>
      </w:pPr>
      <w:r w:rsidRPr="007F32A3">
        <w:rPr>
          <w:rFonts w:ascii="Times New Roman" w:eastAsia="標楷體" w:hAnsi="Times New Roman" w:cs="Times New Roman"/>
          <w:kern w:val="0"/>
          <w:shd w:val="clear" w:color="auto" w:fill="FFFFFF"/>
        </w:rPr>
        <w:t>【</w:t>
      </w:r>
      <w:r w:rsidRPr="007F32A3">
        <w:rPr>
          <w:rFonts w:ascii="Times New Roman" w:eastAsia="標楷體" w:hAnsi="Times New Roman" w:cs="Times New Roman"/>
          <w:kern w:val="0"/>
          <w:shd w:val="clear" w:color="auto" w:fill="FFFFFF"/>
        </w:rPr>
        <w:t>Insert Table 5 Here</w:t>
      </w:r>
      <w:r w:rsidRPr="007F32A3">
        <w:rPr>
          <w:rFonts w:ascii="Times New Roman" w:eastAsia="標楷體" w:hAnsi="Times New Roman" w:cs="Times New Roman"/>
          <w:kern w:val="0"/>
          <w:shd w:val="clear" w:color="auto" w:fill="FFFFFF"/>
        </w:rPr>
        <w:t>】</w:t>
      </w:r>
    </w:p>
    <w:p w:rsidR="00B30920" w:rsidRPr="007F32A3" w:rsidRDefault="00B30920" w:rsidP="00B30920">
      <w:pPr>
        <w:pStyle w:val="2"/>
        <w:snapToGrid w:val="0"/>
        <w:spacing w:beforeLines="50" w:before="180" w:afterLines="50" w:after="180"/>
        <w:jc w:val="both"/>
        <w:rPr>
          <w:rFonts w:eastAsia="標楷體" w:cs="Times New Roman"/>
          <w:i/>
          <w:szCs w:val="24"/>
          <w:shd w:val="clear" w:color="auto" w:fill="FFFFFF"/>
        </w:rPr>
      </w:pPr>
      <w:r w:rsidRPr="007F32A3">
        <w:rPr>
          <w:rFonts w:eastAsia="標楷體" w:cs="Times New Roman"/>
          <w:i/>
          <w:szCs w:val="24"/>
          <w:shd w:val="clear" w:color="auto" w:fill="FFFFFF"/>
        </w:rPr>
        <w:t>Impacts of auditor industry specialization of each kind content quality of KAM</w:t>
      </w:r>
    </w:p>
    <w:p w:rsidR="00275560" w:rsidRPr="007F32A3" w:rsidRDefault="00275560" w:rsidP="00275560">
      <w:pPr>
        <w:snapToGrid w:val="0"/>
        <w:spacing w:beforeLines="50" w:before="180" w:afterLines="50" w:after="180" w:line="480" w:lineRule="auto"/>
        <w:ind w:firstLineChars="200" w:firstLine="480"/>
        <w:jc w:val="both"/>
        <w:rPr>
          <w:rFonts w:ascii="Times New Roman" w:hAnsi="Times New Roman" w:cs="Times New Roman"/>
          <w:szCs w:val="24"/>
        </w:rPr>
      </w:pPr>
      <w:r w:rsidRPr="007F32A3">
        <w:rPr>
          <w:rFonts w:ascii="Times New Roman" w:hAnsi="Times New Roman" w:cs="Times New Roman"/>
          <w:szCs w:val="24"/>
        </w:rPr>
        <w:t xml:space="preserve">In order to understand the impacts of auditor industrial specialization on the overall KAM content quality, we combined the six KAM content quality indicators into a comprehensive indicator to discuss the research topics in the main analyses. However, the impact of industry specialization on the quality of KAM content may also vary between indicators. Therefore, this study further discusses the impacts of auditor industrial specialization on the quality of six KAM contents in this section. </w:t>
      </w:r>
    </w:p>
    <w:p w:rsidR="00B30920" w:rsidRPr="007F32A3" w:rsidRDefault="00275560" w:rsidP="00275560">
      <w:pPr>
        <w:snapToGrid w:val="0"/>
        <w:spacing w:beforeLines="50" w:before="180" w:afterLines="50" w:after="180" w:line="480" w:lineRule="auto"/>
        <w:ind w:firstLineChars="200" w:firstLine="480"/>
        <w:jc w:val="both"/>
        <w:rPr>
          <w:rFonts w:ascii="Times New Roman" w:hAnsi="Times New Roman" w:cs="Times New Roman"/>
          <w:szCs w:val="24"/>
        </w:rPr>
      </w:pPr>
      <w:r w:rsidRPr="007F32A3">
        <w:rPr>
          <w:rFonts w:ascii="Times New Roman" w:hAnsi="Times New Roman" w:cs="Times New Roman"/>
          <w:szCs w:val="24"/>
        </w:rPr>
        <w:t>Table 6 presents the logistic results for the six criteria indexes used in this study which examine the association between auditor industrial specialization and whether the matter discussed should be considered as a KAM (</w:t>
      </w:r>
      <w:r w:rsidRPr="007F32A3">
        <w:rPr>
          <w:rFonts w:ascii="Times New Roman" w:hAnsi="Times New Roman" w:cs="Times New Roman"/>
          <w:i/>
          <w:szCs w:val="24"/>
        </w:rPr>
        <w:t>KAM1</w:t>
      </w:r>
      <w:r w:rsidRPr="007F32A3">
        <w:rPr>
          <w:rFonts w:ascii="Times New Roman" w:hAnsi="Times New Roman" w:cs="Times New Roman"/>
          <w:szCs w:val="24"/>
        </w:rPr>
        <w:t>), whether the discussion of KAM provided linkage to a specific level of the account it mentioned (</w:t>
      </w:r>
      <w:r w:rsidRPr="007F32A3">
        <w:rPr>
          <w:rFonts w:ascii="Times New Roman" w:hAnsi="Times New Roman" w:cs="Times New Roman"/>
          <w:i/>
          <w:szCs w:val="24"/>
        </w:rPr>
        <w:t>KAM2</w:t>
      </w:r>
      <w:r w:rsidRPr="007F32A3">
        <w:rPr>
          <w:rFonts w:ascii="Times New Roman" w:hAnsi="Times New Roman" w:cs="Times New Roman"/>
          <w:szCs w:val="24"/>
        </w:rPr>
        <w:t>), whether excessive standardized phraseology is used to discuss KAM (</w:t>
      </w:r>
      <w:r w:rsidRPr="007F32A3">
        <w:rPr>
          <w:rFonts w:ascii="Times New Roman" w:hAnsi="Times New Roman" w:cs="Times New Roman"/>
          <w:i/>
          <w:szCs w:val="24"/>
        </w:rPr>
        <w:t>KAM3</w:t>
      </w:r>
      <w:r w:rsidRPr="007F32A3">
        <w:rPr>
          <w:rFonts w:ascii="Times New Roman" w:hAnsi="Times New Roman" w:cs="Times New Roman"/>
          <w:szCs w:val="24"/>
        </w:rPr>
        <w:t>), whether the content of KAM provides the index of KAM-related disclosure in financial reports (</w:t>
      </w:r>
      <w:r w:rsidRPr="007F32A3">
        <w:rPr>
          <w:rFonts w:ascii="Times New Roman" w:hAnsi="Times New Roman" w:cs="Times New Roman"/>
          <w:i/>
          <w:szCs w:val="24"/>
        </w:rPr>
        <w:t>KAM4</w:t>
      </w:r>
      <w:r w:rsidRPr="007F32A3">
        <w:rPr>
          <w:rFonts w:ascii="Times New Roman" w:hAnsi="Times New Roman" w:cs="Times New Roman"/>
          <w:szCs w:val="24"/>
        </w:rPr>
        <w:t>), whether the title of KAM is appropriate(</w:t>
      </w:r>
      <w:r w:rsidRPr="007F32A3">
        <w:rPr>
          <w:rFonts w:ascii="Times New Roman" w:hAnsi="Times New Roman" w:cs="Times New Roman"/>
          <w:i/>
          <w:szCs w:val="24"/>
        </w:rPr>
        <w:t>KAM5</w:t>
      </w:r>
      <w:r w:rsidRPr="007F32A3">
        <w:rPr>
          <w:rFonts w:ascii="Times New Roman" w:hAnsi="Times New Roman" w:cs="Times New Roman"/>
          <w:szCs w:val="24"/>
        </w:rPr>
        <w:t>), and whether the note of KAM is adequate (</w:t>
      </w:r>
      <w:r w:rsidRPr="007F32A3">
        <w:rPr>
          <w:rFonts w:ascii="Times New Roman" w:hAnsi="Times New Roman" w:cs="Times New Roman"/>
          <w:i/>
          <w:szCs w:val="24"/>
        </w:rPr>
        <w:t>KAM6</w:t>
      </w:r>
      <w:r w:rsidRPr="007F32A3">
        <w:rPr>
          <w:rFonts w:ascii="Times New Roman" w:hAnsi="Times New Roman" w:cs="Times New Roman"/>
          <w:szCs w:val="24"/>
        </w:rPr>
        <w:t xml:space="preserve">). From Table 6, one can find that the positive association between SPE and KAM is significant only for column (1), (3), and (6) which suggest that the impact of auditor industry </w:t>
      </w:r>
      <w:r w:rsidRPr="007F32A3">
        <w:rPr>
          <w:rFonts w:ascii="Times New Roman" w:hAnsi="Times New Roman" w:cs="Times New Roman"/>
          <w:szCs w:val="24"/>
        </w:rPr>
        <w:lastRenderedPageBreak/>
        <w:t>specialization on the content quality of KAM is most significant for correctly identifying KAM issues, avoiding to use excessive standardized phraseology to discuss KAM, and adequately make the note of KAM.</w:t>
      </w:r>
    </w:p>
    <w:p w:rsidR="00275560" w:rsidRPr="007F32A3" w:rsidRDefault="00275560" w:rsidP="00275560">
      <w:pPr>
        <w:snapToGrid w:val="0"/>
        <w:spacing w:beforeLines="50" w:before="180" w:afterLines="50" w:after="180" w:line="480" w:lineRule="auto"/>
        <w:ind w:firstLineChars="200" w:firstLine="480"/>
        <w:jc w:val="center"/>
        <w:rPr>
          <w:rFonts w:ascii="Times New Roman" w:hAnsi="Times New Roman" w:cs="Times New Roman"/>
          <w:b/>
          <w:kern w:val="0"/>
          <w:shd w:val="clear" w:color="auto" w:fill="FFFFFF"/>
        </w:rPr>
      </w:pPr>
      <w:r w:rsidRPr="007F32A3">
        <w:rPr>
          <w:rFonts w:ascii="Times New Roman" w:eastAsia="標楷體" w:hAnsi="Times New Roman" w:cs="Times New Roman"/>
          <w:kern w:val="0"/>
          <w:shd w:val="clear" w:color="auto" w:fill="FFFFFF"/>
        </w:rPr>
        <w:t>【</w:t>
      </w:r>
      <w:r w:rsidRPr="007F32A3">
        <w:rPr>
          <w:rFonts w:ascii="Times New Roman" w:eastAsia="標楷體" w:hAnsi="Times New Roman" w:cs="Times New Roman"/>
          <w:kern w:val="0"/>
          <w:shd w:val="clear" w:color="auto" w:fill="FFFFFF"/>
        </w:rPr>
        <w:t>Insert Table 6 Here</w:t>
      </w:r>
      <w:r w:rsidRPr="007F32A3">
        <w:rPr>
          <w:rFonts w:ascii="Times New Roman" w:eastAsia="標楷體" w:hAnsi="Times New Roman" w:cs="Times New Roman"/>
          <w:kern w:val="0"/>
          <w:shd w:val="clear" w:color="auto" w:fill="FFFFFF"/>
        </w:rPr>
        <w:t>】</w:t>
      </w:r>
    </w:p>
    <w:p w:rsidR="00275560" w:rsidRPr="007F32A3" w:rsidRDefault="00275560" w:rsidP="00B30920">
      <w:pPr>
        <w:pStyle w:val="2"/>
        <w:snapToGrid w:val="0"/>
        <w:spacing w:beforeLines="50" w:before="180" w:afterLines="50" w:after="180"/>
        <w:jc w:val="both"/>
        <w:rPr>
          <w:rFonts w:eastAsiaTheme="minorEastAsia" w:cs="Times New Roman"/>
          <w:b w:val="0"/>
          <w:kern w:val="0"/>
          <w:shd w:val="clear" w:color="auto" w:fill="FFFFFF"/>
        </w:rPr>
      </w:pPr>
    </w:p>
    <w:p w:rsidR="009976C9" w:rsidRPr="007F32A3" w:rsidRDefault="009976C9" w:rsidP="00B30920">
      <w:pPr>
        <w:pStyle w:val="2"/>
        <w:snapToGrid w:val="0"/>
        <w:spacing w:beforeLines="50" w:before="180" w:afterLines="50" w:after="180"/>
        <w:jc w:val="both"/>
        <w:rPr>
          <w:rFonts w:eastAsiaTheme="minorEastAsia" w:cs="Times New Roman"/>
          <w:b w:val="0"/>
          <w:kern w:val="0"/>
          <w:shd w:val="clear" w:color="auto" w:fill="FFFFFF"/>
        </w:rPr>
      </w:pPr>
    </w:p>
    <w:p w:rsidR="00BF0161" w:rsidRPr="007F32A3" w:rsidRDefault="00BF0161" w:rsidP="00BF0161">
      <w:pPr>
        <w:snapToGrid w:val="0"/>
        <w:spacing w:beforeLines="50" w:before="180" w:afterLines="50" w:after="180" w:line="480" w:lineRule="auto"/>
        <w:jc w:val="center"/>
        <w:rPr>
          <w:rFonts w:ascii="Times New Roman" w:hAnsi="Times New Roman" w:cs="Times New Roman"/>
          <w:b/>
          <w:bCs/>
          <w:kern w:val="0"/>
        </w:rPr>
      </w:pPr>
      <w:r w:rsidRPr="007F32A3">
        <w:rPr>
          <w:rFonts w:ascii="Times New Roman" w:hAnsi="Times New Roman" w:cs="Times New Roman"/>
          <w:b/>
          <w:bCs/>
          <w:kern w:val="0"/>
        </w:rPr>
        <w:t>V. Conclusion</w:t>
      </w:r>
    </w:p>
    <w:p w:rsidR="00BF0161" w:rsidRPr="007F32A3" w:rsidRDefault="00BF0161" w:rsidP="00BF0161">
      <w:pPr>
        <w:autoSpaceDE w:val="0"/>
        <w:autoSpaceDN w:val="0"/>
        <w:adjustRightInd w:val="0"/>
        <w:snapToGrid w:val="0"/>
        <w:spacing w:beforeLines="50" w:before="180" w:afterLines="50" w:after="180" w:line="480" w:lineRule="auto"/>
        <w:ind w:firstLineChars="200" w:firstLine="480"/>
        <w:jc w:val="both"/>
        <w:rPr>
          <w:rFonts w:ascii="Times New Roman" w:hAnsi="Times New Roman" w:cs="Times New Roman"/>
        </w:rPr>
      </w:pPr>
      <w:r w:rsidRPr="007F32A3">
        <w:rPr>
          <w:rFonts w:ascii="Times New Roman" w:hAnsi="Times New Roman" w:cs="Times New Roman"/>
          <w:kern w:val="0"/>
        </w:rPr>
        <w:t xml:space="preserve">For enhancing the transparency of audit reports, auditing standard development authorities around the world have proposed or approved standards that significantly change an independent auditor’s report since 2013. For complying with international trends and enhancing the transparency of audit reports, the ARDF in Taiwan revised the Statements of Auditing Standards in 2015 and released the SAS No. 58, requiring auditors to communicate key matters in an audit and contain these matters in the audit reports. </w:t>
      </w:r>
      <w:r w:rsidRPr="007F32A3">
        <w:rPr>
          <w:rFonts w:ascii="Times New Roman" w:hAnsi="Times New Roman" w:cs="Times New Roman"/>
          <w:kern w:val="0"/>
          <w:szCs w:val="24"/>
        </w:rPr>
        <w:t>While industry specialist auditors have been demonstrated to possess higher audit quality, no evidence associated with the new audit report has been provided to date</w:t>
      </w:r>
      <w:r w:rsidRPr="007F32A3">
        <w:rPr>
          <w:rFonts w:ascii="Times New Roman" w:hAnsi="Times New Roman" w:cs="Times New Roman"/>
        </w:rPr>
        <w:t xml:space="preserve">. Consequently, </w:t>
      </w:r>
      <w:r w:rsidRPr="007F32A3">
        <w:rPr>
          <w:rFonts w:ascii="Times New Roman" w:hAnsi="Times New Roman" w:cs="Times New Roman"/>
          <w:kern w:val="0"/>
          <w:szCs w:val="24"/>
        </w:rPr>
        <w:t xml:space="preserve">the purpose of this study is to </w:t>
      </w:r>
      <w:r w:rsidRPr="007F32A3">
        <w:rPr>
          <w:rFonts w:ascii="Times New Roman" w:hAnsi="Times New Roman" w:cs="Times New Roman"/>
        </w:rPr>
        <w:t xml:space="preserve">explore the association between auditor industry specialization and audit quality from the aspect of communicating matters important to the audit under the new form of audit reports, as denoted by KAM. </w:t>
      </w:r>
    </w:p>
    <w:p w:rsidR="00BF0161" w:rsidRPr="007F32A3" w:rsidRDefault="00BF0161" w:rsidP="00BF0161">
      <w:pPr>
        <w:autoSpaceDE w:val="0"/>
        <w:autoSpaceDN w:val="0"/>
        <w:adjustRightInd w:val="0"/>
        <w:snapToGrid w:val="0"/>
        <w:spacing w:beforeLines="50" w:before="180" w:after="50" w:line="480" w:lineRule="auto"/>
        <w:ind w:firstLineChars="200" w:firstLine="480"/>
        <w:jc w:val="both"/>
        <w:rPr>
          <w:rFonts w:ascii="Times New Roman" w:hAnsi="Times New Roman" w:cs="Times New Roman"/>
          <w:szCs w:val="24"/>
        </w:rPr>
      </w:pPr>
      <w:r w:rsidRPr="007F32A3">
        <w:rPr>
          <w:rFonts w:ascii="Times New Roman" w:hAnsi="Times New Roman" w:cs="Times New Roman"/>
          <w:kern w:val="0"/>
          <w:szCs w:val="24"/>
        </w:rPr>
        <w:t xml:space="preserve">To address this question, this study use hand-collected data of the KAM disclosed in the audit reports of Taiwanese listed companies in 2016 and </w:t>
      </w:r>
      <w:r w:rsidRPr="007F32A3">
        <w:rPr>
          <w:rFonts w:ascii="Times New Roman" w:hAnsi="Times New Roman" w:cs="Times New Roman"/>
          <w:szCs w:val="24"/>
        </w:rPr>
        <w:t xml:space="preserve">developed a comprehensive indicator which composed by six criteria related to companies’ KAM disclosure content. The empirical findings support our hypothesis that compared with the content quality of KAM in an audit report that discussed by non-specialist auditors, the content quality of KAM is higher in the audit report that discussed by specialist auditors. In addition, the empirical results of considering the effect of auditor change show that auditors’ client specific knowledge affect the content quality of KAMs disclosure </w:t>
      </w:r>
      <w:r w:rsidRPr="007F32A3">
        <w:rPr>
          <w:rFonts w:ascii="Times New Roman" w:hAnsi="Times New Roman" w:cs="Times New Roman"/>
          <w:szCs w:val="24"/>
        </w:rPr>
        <w:lastRenderedPageBreak/>
        <w:t xml:space="preserve">as well. </w:t>
      </w:r>
      <w:r w:rsidR="009B1290" w:rsidRPr="007F32A3">
        <w:rPr>
          <w:rFonts w:ascii="Times New Roman" w:hAnsi="Times New Roman" w:cs="Times New Roman"/>
          <w:szCs w:val="24"/>
        </w:rPr>
        <w:t>Furthermore, we further found that the impact of auditor industry specialization on the content quality of KAM is most significant for correctly identifying KAM issues, avoiding to use excessive standardized phraseology to discuss KAM, and adequately make the note of KAM.</w:t>
      </w:r>
    </w:p>
    <w:p w:rsidR="00BF0161" w:rsidRPr="007F32A3" w:rsidRDefault="00BF0161" w:rsidP="00BF0161">
      <w:pPr>
        <w:autoSpaceDE w:val="0"/>
        <w:autoSpaceDN w:val="0"/>
        <w:adjustRightInd w:val="0"/>
        <w:snapToGrid w:val="0"/>
        <w:spacing w:beforeLines="50" w:before="180" w:after="50" w:line="480" w:lineRule="auto"/>
        <w:ind w:firstLineChars="200" w:firstLine="480"/>
        <w:jc w:val="both"/>
        <w:rPr>
          <w:rFonts w:ascii="Times New Roman" w:hAnsi="Times New Roman" w:cs="Times New Roman"/>
        </w:rPr>
      </w:pPr>
      <w:r w:rsidRPr="007F32A3">
        <w:rPr>
          <w:rFonts w:ascii="Times New Roman" w:hAnsi="Times New Roman" w:cs="Times New Roman"/>
          <w:szCs w:val="24"/>
        </w:rPr>
        <w:t>This study is expected to make the following contributions. First, this study use hand-collected data from KAM in Taiwan to provide empirical evidence regarding the consequence of the revolution in audit reporting since there is still rare related empirical evidence. Next, distinct with Lennox et al. (2015), who provides evidence about the users’ response of audit reports, this study is expected to provide evidence about the response of audit report providers for the new audit standard. This is our second contribution. Finally, while industry specialist auditors typically demonstrate higher audit quality, no evidence associated with the new audit report has been provided to date. This study provide evidence of the impact of auditor industry specialization on audit quality under the new audit regulation region, and this is our third contribution.</w:t>
      </w:r>
    </w:p>
    <w:p w:rsidR="005331D8" w:rsidRPr="007F32A3" w:rsidRDefault="005331D8" w:rsidP="0061290E">
      <w:pPr>
        <w:snapToGrid w:val="0"/>
        <w:spacing w:beforeLines="50" w:before="180" w:afterLines="50" w:after="180" w:line="480" w:lineRule="auto"/>
        <w:jc w:val="both"/>
        <w:rPr>
          <w:rFonts w:ascii="Times New Roman" w:hAnsi="Times New Roman" w:cs="Times New Roman"/>
          <w:strike/>
          <w:shd w:val="clear" w:color="auto" w:fill="FFFFFF"/>
        </w:rPr>
      </w:pPr>
    </w:p>
    <w:p w:rsidR="0049200A" w:rsidRPr="007F32A3" w:rsidRDefault="0049200A" w:rsidP="00A74046">
      <w:pPr>
        <w:autoSpaceDE w:val="0"/>
        <w:autoSpaceDN w:val="0"/>
        <w:adjustRightInd w:val="0"/>
        <w:snapToGrid w:val="0"/>
        <w:spacing w:beforeLines="50" w:before="180" w:afterLines="50" w:after="180" w:line="480" w:lineRule="auto"/>
        <w:jc w:val="center"/>
        <w:rPr>
          <w:rFonts w:ascii="Times New Roman" w:hAnsi="Times New Roman" w:cs="Times New Roman"/>
          <w:kern w:val="0"/>
          <w:szCs w:val="24"/>
        </w:rPr>
      </w:pPr>
      <w:r w:rsidRPr="007F32A3">
        <w:rPr>
          <w:rStyle w:val="ab"/>
          <w:rFonts w:ascii="Times New Roman" w:eastAsia="標楷體" w:hAnsi="Times New Roman" w:cs="Times New Roman"/>
          <w:szCs w:val="24"/>
        </w:rPr>
        <w:t>REFERENCE</w:t>
      </w:r>
    </w:p>
    <w:p w:rsidR="0049200A" w:rsidRPr="007F32A3" w:rsidRDefault="0049200A" w:rsidP="0061290E">
      <w:pPr>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Accounting Research and Development Foundation (ARDF). 2016. </w:t>
      </w:r>
      <w:r w:rsidRPr="007F32A3">
        <w:rPr>
          <w:rFonts w:ascii="Times New Roman" w:eastAsia="新細明體" w:hAnsi="Times New Roman" w:cs="Times New Roman"/>
          <w:i/>
          <w:kern w:val="0"/>
          <w:szCs w:val="24"/>
        </w:rPr>
        <w:t>“Communicating Key Audit Matters in the Independent Auditor’s Report”.</w:t>
      </w:r>
      <w:r w:rsidRPr="007F32A3">
        <w:rPr>
          <w:rFonts w:ascii="Times New Roman" w:eastAsia="新細明體" w:hAnsi="Times New Roman" w:cs="Times New Roman"/>
          <w:kern w:val="0"/>
          <w:szCs w:val="24"/>
        </w:rPr>
        <w:t xml:space="preserve"> Statements of Auditing Standards (SAS) 58. Taipei, R.O.C.: ARDF. </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Backof, A., K. Bowlin, and B. Goodson. 2017. The impact of proposed changes to the content of the audit report on jurors’ assessments of auditor negligence. </w:t>
      </w:r>
      <w:r w:rsidRPr="007F32A3">
        <w:rPr>
          <w:rFonts w:ascii="Times New Roman" w:hAnsi="Times New Roman" w:cs="Times New Roman"/>
          <w:i/>
          <w:iCs/>
        </w:rPr>
        <w:t>Working paper</w:t>
      </w:r>
      <w:r w:rsidRPr="007F32A3">
        <w:rPr>
          <w:rFonts w:ascii="Times New Roman" w:hAnsi="Times New Roman" w:cs="Times New Roman"/>
        </w:rPr>
        <w:t>. University of Virginia, University of Mississippi and University of Cincinnati.</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Balsam, S., J. Krishnan, and J.S. Yang. 2003. Auditor industry specialization and earnings quality. </w:t>
      </w:r>
      <w:r w:rsidRPr="007F32A3">
        <w:rPr>
          <w:rFonts w:ascii="Times New Roman" w:hAnsi="Times New Roman" w:cs="Times New Roman"/>
          <w:i/>
          <w:iCs/>
        </w:rPr>
        <w:t>Auditing: A Journal of Practice &amp; Theory 22</w:t>
      </w:r>
      <w:r w:rsidRPr="007F32A3">
        <w:rPr>
          <w:rFonts w:ascii="Times New Roman" w:hAnsi="Times New Roman" w:cs="Times New Roman"/>
        </w:rPr>
        <w:t>: 71-97.</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Becker, C. L., M.L. DeFond, J. Jiambalvo, and K. Subreamanyam. 1998. The effect of audit quality on earnings management. </w:t>
      </w:r>
      <w:r w:rsidRPr="007F32A3">
        <w:rPr>
          <w:rFonts w:ascii="Times New Roman" w:hAnsi="Times New Roman" w:cs="Times New Roman"/>
          <w:i/>
          <w:iCs/>
        </w:rPr>
        <w:t xml:space="preserve">Contemporary Accounting Research </w:t>
      </w:r>
      <w:r w:rsidRPr="007F32A3">
        <w:rPr>
          <w:rFonts w:ascii="Times New Roman" w:hAnsi="Times New Roman" w:cs="Times New Roman"/>
        </w:rPr>
        <w:t>15: 1-24.</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lastRenderedPageBreak/>
        <w:t xml:space="preserve">Bédard, J., P. Coram, R. Espahbodi, and T. J. Mock. 2016. Does recent academic research support changes to audit reporting standards? </w:t>
      </w:r>
      <w:r w:rsidRPr="007F32A3">
        <w:rPr>
          <w:rFonts w:ascii="Times New Roman" w:hAnsi="Times New Roman" w:cs="Times New Roman"/>
          <w:i/>
          <w:iCs/>
        </w:rPr>
        <w:t>Accounting Horizons</w:t>
      </w:r>
      <w:r w:rsidRPr="007F32A3">
        <w:rPr>
          <w:rFonts w:ascii="Times New Roman" w:hAnsi="Times New Roman" w:cs="Times New Roman"/>
        </w:rPr>
        <w:t xml:space="preserve"> </w:t>
      </w:r>
      <w:r w:rsidRPr="007F32A3">
        <w:rPr>
          <w:rFonts w:ascii="Times New Roman" w:hAnsi="Times New Roman" w:cs="Times New Roman"/>
          <w:iCs/>
        </w:rPr>
        <w:t>30</w:t>
      </w:r>
      <w:r w:rsidRPr="007F32A3">
        <w:rPr>
          <w:rFonts w:ascii="Times New Roman" w:hAnsi="Times New Roman" w:cs="Times New Roman"/>
        </w:rPr>
        <w:t xml:space="preserve">(2): 255-275. </w:t>
      </w:r>
    </w:p>
    <w:p w:rsidR="0049200A" w:rsidRPr="007F32A3" w:rsidRDefault="0049200A" w:rsidP="0061290E">
      <w:pPr>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Behn, B. K., J. Choi, and T. Kang. 2008. Audit quality and properties of analyst earnings forecasts. </w:t>
      </w:r>
      <w:r w:rsidRPr="007F32A3">
        <w:rPr>
          <w:rFonts w:ascii="Times New Roman" w:hAnsi="Times New Roman" w:cs="Times New Roman"/>
          <w:i/>
          <w:iCs/>
          <w:szCs w:val="24"/>
          <w:bdr w:val="none" w:sz="0" w:space="0" w:color="auto" w:frame="1"/>
        </w:rPr>
        <w:t>Accounting Review</w:t>
      </w:r>
      <w:r w:rsidRPr="007F32A3">
        <w:rPr>
          <w:rFonts w:ascii="Times New Roman" w:hAnsi="Times New Roman" w:cs="Times New Roman"/>
          <w:szCs w:val="24"/>
        </w:rPr>
        <w:t> </w:t>
      </w:r>
      <w:r w:rsidRPr="007F32A3">
        <w:rPr>
          <w:rFonts w:ascii="Times New Roman" w:hAnsi="Times New Roman" w:cs="Times New Roman"/>
          <w:i/>
          <w:iCs/>
          <w:szCs w:val="24"/>
          <w:bdr w:val="none" w:sz="0" w:space="0" w:color="auto" w:frame="1"/>
        </w:rPr>
        <w:t>83</w:t>
      </w:r>
      <w:r w:rsidRPr="007F32A3">
        <w:rPr>
          <w:rFonts w:ascii="Times New Roman" w:hAnsi="Times New Roman" w:cs="Times New Roman"/>
          <w:szCs w:val="24"/>
        </w:rPr>
        <w:t>(2): 327-349.</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Boolaky, P. K., and R. Quick. 2016. Bank directors' perceptions of expanded auditor's reports. </w:t>
      </w:r>
      <w:r w:rsidRPr="007F32A3">
        <w:rPr>
          <w:rFonts w:ascii="Times New Roman" w:hAnsi="Times New Roman" w:cs="Times New Roman"/>
          <w:i/>
          <w:iCs/>
        </w:rPr>
        <w:t>International Journal of Auditing</w:t>
      </w:r>
      <w:r w:rsidRPr="007F32A3">
        <w:rPr>
          <w:rFonts w:ascii="Times New Roman" w:hAnsi="Times New Roman" w:cs="Times New Roman"/>
        </w:rPr>
        <w:t xml:space="preserve"> </w:t>
      </w:r>
      <w:r w:rsidRPr="007F32A3">
        <w:rPr>
          <w:rFonts w:ascii="Times New Roman" w:hAnsi="Times New Roman" w:cs="Times New Roman"/>
          <w:iCs/>
        </w:rPr>
        <w:t>20</w:t>
      </w:r>
      <w:r w:rsidRPr="007F32A3">
        <w:rPr>
          <w:rFonts w:ascii="Times New Roman" w:hAnsi="Times New Roman" w:cs="Times New Roman"/>
        </w:rPr>
        <w:t>(2): 158-174.</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Brasel, K., M. M. Doxey, J. H. Grenier, and A. Reffett. 2016. Risk disclosure preceding negative outcomes: The effects of reporting critical audit matters on judgments of auditor liability. </w:t>
      </w:r>
      <w:r w:rsidRPr="007F32A3">
        <w:rPr>
          <w:rFonts w:ascii="Times New Roman" w:hAnsi="Times New Roman" w:cs="Times New Roman"/>
          <w:i/>
          <w:iCs/>
        </w:rPr>
        <w:t>Accounting Review</w:t>
      </w:r>
      <w:r w:rsidRPr="007F32A3">
        <w:rPr>
          <w:rFonts w:ascii="Times New Roman" w:hAnsi="Times New Roman" w:cs="Times New Roman"/>
        </w:rPr>
        <w:t xml:space="preserve"> </w:t>
      </w:r>
      <w:r w:rsidRPr="007F32A3">
        <w:rPr>
          <w:rFonts w:ascii="Times New Roman" w:hAnsi="Times New Roman" w:cs="Times New Roman"/>
          <w:iCs/>
        </w:rPr>
        <w:t>91</w:t>
      </w:r>
      <w:r w:rsidRPr="007F32A3">
        <w:rPr>
          <w:rFonts w:ascii="Times New Roman" w:hAnsi="Times New Roman" w:cs="Times New Roman"/>
        </w:rPr>
        <w:t>(5): 1345-1362.</w:t>
      </w:r>
    </w:p>
    <w:p w:rsidR="0049200A" w:rsidRPr="007F32A3" w:rsidRDefault="0049200A" w:rsidP="0061290E">
      <w:pPr>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Bruynseels, L., W. R. Knechel, and M. Willekens. 2011. Auditor differentiation, mitigating management actions, and audit-reporting accuracy for distressed firms. </w:t>
      </w:r>
      <w:r w:rsidRPr="007F32A3">
        <w:rPr>
          <w:rFonts w:ascii="Times New Roman" w:hAnsi="Times New Roman" w:cs="Times New Roman"/>
          <w:i/>
          <w:iCs/>
          <w:szCs w:val="24"/>
          <w:bdr w:val="none" w:sz="0" w:space="0" w:color="auto" w:frame="1"/>
        </w:rPr>
        <w:t>Auditing: A Journal of Practice &amp; Theory</w:t>
      </w:r>
      <w:r w:rsidRPr="007F32A3">
        <w:rPr>
          <w:rFonts w:ascii="Times New Roman" w:hAnsi="Times New Roman" w:cs="Times New Roman"/>
          <w:szCs w:val="24"/>
        </w:rPr>
        <w:t> </w:t>
      </w:r>
      <w:r w:rsidRPr="007F32A3">
        <w:rPr>
          <w:rFonts w:ascii="Times New Roman" w:hAnsi="Times New Roman" w:cs="Times New Roman"/>
          <w:i/>
          <w:iCs/>
          <w:szCs w:val="24"/>
          <w:bdr w:val="none" w:sz="0" w:space="0" w:color="auto" w:frame="1"/>
        </w:rPr>
        <w:t>30</w:t>
      </w:r>
      <w:r w:rsidRPr="007F32A3">
        <w:rPr>
          <w:rFonts w:ascii="Times New Roman" w:hAnsi="Times New Roman" w:cs="Times New Roman"/>
          <w:szCs w:val="24"/>
        </w:rPr>
        <w:t>(1): 1-20.</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ArialUnicodeMS" w:hAnsi="Times New Roman" w:cs="Times New Roman"/>
          <w:kern w:val="0"/>
          <w:szCs w:val="24"/>
        </w:rPr>
      </w:pPr>
      <w:r w:rsidRPr="007F32A3">
        <w:rPr>
          <w:rFonts w:ascii="Times New Roman" w:eastAsia="ArialUnicodeMS" w:hAnsi="Times New Roman" w:cs="Times New Roman"/>
          <w:kern w:val="0"/>
          <w:szCs w:val="24"/>
        </w:rPr>
        <w:t>Carcello, J. V., and A. L. Nagy</w:t>
      </w:r>
      <w:r w:rsidRPr="007F32A3">
        <w:rPr>
          <w:rFonts w:ascii="Times New Roman" w:hAnsi="Times New Roman" w:cs="Times New Roman"/>
          <w:kern w:val="0"/>
          <w:szCs w:val="24"/>
        </w:rPr>
        <w:t>.</w:t>
      </w:r>
      <w:r w:rsidRPr="007F32A3">
        <w:rPr>
          <w:rFonts w:ascii="Times New Roman" w:eastAsia="ArialUnicodeMS" w:hAnsi="Times New Roman" w:cs="Times New Roman"/>
          <w:kern w:val="0"/>
          <w:szCs w:val="24"/>
        </w:rPr>
        <w:t xml:space="preserve"> 2004. Audit firm tenure and fraudulent financial reporting.</w:t>
      </w:r>
      <w:r w:rsidRPr="007F32A3">
        <w:rPr>
          <w:rFonts w:ascii="Times New Roman" w:hAnsi="Times New Roman" w:cs="Times New Roman"/>
          <w:kern w:val="0"/>
          <w:szCs w:val="24"/>
        </w:rPr>
        <w:t xml:space="preserve"> </w:t>
      </w:r>
      <w:r w:rsidRPr="007F32A3">
        <w:rPr>
          <w:rFonts w:ascii="Times New Roman" w:eastAsia="ArialUnicodeMS" w:hAnsi="Times New Roman" w:cs="Times New Roman"/>
          <w:i/>
          <w:kern w:val="0"/>
          <w:szCs w:val="24"/>
        </w:rPr>
        <w:t>Auditing: A Journal of Practice &amp; Theory</w:t>
      </w:r>
      <w:r w:rsidRPr="007F32A3">
        <w:rPr>
          <w:rFonts w:ascii="Times New Roman" w:eastAsia="ArialUnicodeMS" w:hAnsi="Times New Roman" w:cs="Times New Roman"/>
          <w:kern w:val="0"/>
          <w:szCs w:val="24"/>
        </w:rPr>
        <w:t xml:space="preserve"> 23(2): 55-69.</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eastAsia="ArialUnicodeMS" w:hAnsi="Times New Roman" w:cs="Times New Roman"/>
          <w:kern w:val="0"/>
          <w:szCs w:val="24"/>
        </w:rPr>
        <w:t>Carey, P., and R.</w:t>
      </w:r>
      <w:r w:rsidRPr="007F32A3">
        <w:rPr>
          <w:rFonts w:ascii="Times New Roman" w:hAnsi="Times New Roman" w:cs="Times New Roman"/>
          <w:kern w:val="0"/>
          <w:szCs w:val="24"/>
        </w:rPr>
        <w:t xml:space="preserve"> </w:t>
      </w:r>
      <w:r w:rsidRPr="007F32A3">
        <w:rPr>
          <w:rFonts w:ascii="Times New Roman" w:eastAsia="ArialUnicodeMS" w:hAnsi="Times New Roman" w:cs="Times New Roman"/>
          <w:kern w:val="0"/>
          <w:szCs w:val="24"/>
        </w:rPr>
        <w:t>Simnett</w:t>
      </w:r>
      <w:r w:rsidRPr="007F32A3">
        <w:rPr>
          <w:rFonts w:ascii="Times New Roman" w:hAnsi="Times New Roman" w:cs="Times New Roman"/>
          <w:kern w:val="0"/>
          <w:szCs w:val="24"/>
        </w:rPr>
        <w:t>.</w:t>
      </w:r>
      <w:r w:rsidRPr="007F32A3">
        <w:rPr>
          <w:rFonts w:ascii="Times New Roman" w:eastAsia="ArialUnicodeMS" w:hAnsi="Times New Roman" w:cs="Times New Roman"/>
          <w:kern w:val="0"/>
          <w:szCs w:val="24"/>
        </w:rPr>
        <w:t xml:space="preserve"> 2006. Audit partner tenure and audit quality. </w:t>
      </w:r>
      <w:r w:rsidRPr="007F32A3">
        <w:rPr>
          <w:rFonts w:ascii="Times New Roman" w:eastAsia="ArialUnicodeMS" w:hAnsi="Times New Roman" w:cs="Times New Roman"/>
          <w:i/>
          <w:kern w:val="0"/>
          <w:szCs w:val="24"/>
        </w:rPr>
        <w:t>The Accounting Review</w:t>
      </w:r>
      <w:r w:rsidRPr="007F32A3">
        <w:rPr>
          <w:rFonts w:ascii="Times New Roman" w:eastAsia="ArialUnicodeMS" w:hAnsi="Times New Roman" w:cs="Times New Roman"/>
          <w:kern w:val="0"/>
          <w:szCs w:val="24"/>
        </w:rPr>
        <w:t xml:space="preserve"> 81(3): 653-676.</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ArialUnicodeMS" w:hAnsi="Times New Roman" w:cs="Times New Roman"/>
          <w:kern w:val="0"/>
          <w:szCs w:val="24"/>
        </w:rPr>
      </w:pPr>
      <w:r w:rsidRPr="007F32A3">
        <w:rPr>
          <w:rFonts w:ascii="Times New Roman" w:eastAsia="標楷體" w:hAnsi="Times New Roman" w:cs="Times New Roman"/>
          <w:szCs w:val="24"/>
        </w:rPr>
        <w:t xml:space="preserve">Cenker, W. J. and A. Nagy. 2008. </w:t>
      </w:r>
      <w:r w:rsidRPr="007F32A3">
        <w:rPr>
          <w:rFonts w:ascii="Times New Roman" w:eastAsia="標楷體" w:hAnsi="Times New Roman" w:cs="Times New Roman"/>
          <w:bCs/>
          <w:szCs w:val="24"/>
        </w:rPr>
        <w:t>Auditor resignations and auditor industry specialization</w:t>
      </w:r>
      <w:r w:rsidRPr="007F32A3">
        <w:rPr>
          <w:rFonts w:ascii="Times New Roman" w:eastAsia="標楷體" w:hAnsi="Times New Roman" w:cs="Times New Roman"/>
          <w:szCs w:val="24"/>
        </w:rPr>
        <w:t xml:space="preserve">. </w:t>
      </w:r>
      <w:r w:rsidRPr="007F32A3">
        <w:rPr>
          <w:rStyle w:val="bold1"/>
          <w:rFonts w:ascii="Times New Roman" w:eastAsia="標楷體" w:hAnsi="Times New Roman" w:cs="Times New Roman"/>
          <w:b w:val="0"/>
          <w:i/>
          <w:szCs w:val="24"/>
        </w:rPr>
        <w:t>Accounting Horizons</w:t>
      </w:r>
      <w:r w:rsidRPr="007F32A3">
        <w:rPr>
          <w:rStyle w:val="bold1"/>
          <w:rFonts w:ascii="Times New Roman" w:eastAsia="標楷體" w:hAnsi="Times New Roman" w:cs="Times New Roman"/>
          <w:b w:val="0"/>
          <w:szCs w:val="24"/>
        </w:rPr>
        <w:t xml:space="preserve"> 22 (3): 279-295.</w:t>
      </w:r>
      <w:r w:rsidRPr="007F32A3">
        <w:rPr>
          <w:rFonts w:ascii="Times New Roman" w:eastAsia="標楷體" w:hAnsi="Times New Roman" w:cs="Times New Roman"/>
          <w:szCs w:val="24"/>
        </w:rPr>
        <w:t xml:space="preserve"> </w:t>
      </w:r>
      <w:r w:rsidRPr="007F32A3">
        <w:rPr>
          <w:rFonts w:ascii="Times New Roman" w:eastAsia="ArialUnicodeMS" w:hAnsi="Times New Roman" w:cs="Times New Roman"/>
          <w:kern w:val="0"/>
          <w:szCs w:val="24"/>
        </w:rPr>
        <w:t xml:space="preserve"> </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kern w:val="0"/>
          <w:szCs w:val="24"/>
        </w:rPr>
        <w:t>Chen, C. H. 2017. Analysis on the status of key audit matters for new audit report implementation in the first year. Master’s dissertation. National Taipei University, Taiwan, R.O.C.</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i/>
          <w:kern w:val="0"/>
          <w:szCs w:val="24"/>
        </w:rPr>
      </w:pPr>
      <w:r w:rsidRPr="007F32A3">
        <w:rPr>
          <w:rStyle w:val="italic1"/>
          <w:rFonts w:ascii="Times New Roman" w:hAnsi="Times New Roman" w:cs="Times New Roman"/>
          <w:i w:val="0"/>
          <w:szCs w:val="24"/>
        </w:rPr>
        <w:t xml:space="preserve">Chin, C. and H. Y. Chi. 2009. </w:t>
      </w:r>
      <w:r w:rsidRPr="007F32A3">
        <w:rPr>
          <w:rFonts w:ascii="Times New Roman" w:hAnsi="Times New Roman" w:cs="Times New Roman"/>
          <w:bCs/>
          <w:szCs w:val="24"/>
        </w:rPr>
        <w:t>Reducing restatements with increased industry expertise</w:t>
      </w:r>
      <w:r w:rsidRPr="007F32A3">
        <w:rPr>
          <w:rFonts w:ascii="Times New Roman" w:hAnsi="Times New Roman" w:cs="Times New Roman"/>
          <w:iCs/>
          <w:szCs w:val="24"/>
        </w:rPr>
        <w:t xml:space="preserve">. </w:t>
      </w:r>
      <w:r w:rsidRPr="007F32A3">
        <w:rPr>
          <w:rStyle w:val="bold1"/>
          <w:rFonts w:ascii="Times New Roman" w:hAnsi="Times New Roman" w:cs="Times New Roman"/>
          <w:b w:val="0"/>
          <w:i/>
          <w:szCs w:val="24"/>
        </w:rPr>
        <w:t>Contemporary Accounting Research</w:t>
      </w:r>
      <w:r w:rsidRPr="007F32A3">
        <w:rPr>
          <w:rFonts w:ascii="Times New Roman" w:hAnsi="Times New Roman" w:cs="Times New Roman"/>
          <w:i/>
          <w:szCs w:val="24"/>
        </w:rPr>
        <w:t xml:space="preserve"> </w:t>
      </w:r>
      <w:r w:rsidRPr="007F32A3">
        <w:rPr>
          <w:rFonts w:ascii="Times New Roman" w:eastAsia="ArialUnicodeMS" w:hAnsi="Times New Roman" w:cs="Times New Roman"/>
          <w:kern w:val="0"/>
          <w:szCs w:val="24"/>
        </w:rPr>
        <w:t>26(3): 729-765.</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lastRenderedPageBreak/>
        <w:t xml:space="preserve">Christensen, B. E., S. M. Glover, and C. J. Wolfe. 2014. Do critical audit matter paragraphs in the audit report change nonprofessional investors' decision to Invest? </w:t>
      </w:r>
      <w:r w:rsidRPr="007F32A3">
        <w:rPr>
          <w:rFonts w:ascii="Times New Roman" w:hAnsi="Times New Roman" w:cs="Times New Roman"/>
          <w:i/>
          <w:iCs/>
        </w:rPr>
        <w:t>Auditing: A Journal of Practice and Theory</w:t>
      </w:r>
      <w:r w:rsidRPr="007F32A3">
        <w:rPr>
          <w:rFonts w:ascii="Times New Roman" w:hAnsi="Times New Roman" w:cs="Times New Roman"/>
        </w:rPr>
        <w:t xml:space="preserve"> </w:t>
      </w:r>
      <w:r w:rsidRPr="007F32A3">
        <w:rPr>
          <w:rFonts w:ascii="Times New Roman" w:hAnsi="Times New Roman" w:cs="Times New Roman"/>
          <w:iCs/>
        </w:rPr>
        <w:t>33</w:t>
      </w:r>
      <w:r w:rsidRPr="007F32A3">
        <w:rPr>
          <w:rFonts w:ascii="Times New Roman" w:hAnsi="Times New Roman" w:cs="Times New Roman"/>
        </w:rPr>
        <w:t xml:space="preserve">(4): 71-93. </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Craswell, A. T., J. R Francis, and S. L Taylor. 1995. Auditor brand name reputations and industry specializations. Journal of Accounting and Economics 20(3): 297-322.</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lang w:val="en"/>
        </w:rPr>
      </w:pPr>
      <w:r w:rsidRPr="007F32A3">
        <w:rPr>
          <w:rFonts w:ascii="Times New Roman" w:hAnsi="Times New Roman" w:cs="Times New Roman"/>
          <w:lang w:val="en"/>
        </w:rPr>
        <w:t xml:space="preserve">Craswell, A. T., D. J. Stokes, and J. Laughton. 2002. Auditor independence and fee dependence. </w:t>
      </w:r>
      <w:r w:rsidRPr="007F32A3">
        <w:rPr>
          <w:rFonts w:ascii="Times New Roman" w:hAnsi="Times New Roman" w:cs="Times New Roman"/>
          <w:i/>
          <w:iCs/>
          <w:lang w:val="en"/>
        </w:rPr>
        <w:t>Journal of Accounting and Economics</w:t>
      </w:r>
      <w:r w:rsidRPr="007F32A3">
        <w:rPr>
          <w:rFonts w:ascii="Times New Roman" w:hAnsi="Times New Roman" w:cs="Times New Roman"/>
          <w:lang w:val="en"/>
        </w:rPr>
        <w:t xml:space="preserve"> 33(3): 72-87.</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kern w:val="0"/>
          <w:szCs w:val="24"/>
        </w:rPr>
        <w:t xml:space="preserve">DeAngelo, L. E. 1981. Auditor size and audit quality. </w:t>
      </w:r>
      <w:r w:rsidRPr="007F32A3">
        <w:rPr>
          <w:rFonts w:ascii="Times New Roman" w:hAnsi="Times New Roman" w:cs="Times New Roman"/>
          <w:i/>
          <w:iCs/>
          <w:kern w:val="0"/>
          <w:szCs w:val="24"/>
        </w:rPr>
        <w:t>Journal of Accounting and Economics</w:t>
      </w:r>
      <w:r w:rsidRPr="007F32A3">
        <w:rPr>
          <w:rFonts w:ascii="Times New Roman" w:hAnsi="Times New Roman" w:cs="Times New Roman"/>
          <w:kern w:val="0"/>
          <w:szCs w:val="24"/>
        </w:rPr>
        <w:t xml:space="preserve"> 3(3): 183-199</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kern w:val="0"/>
          <w:szCs w:val="24"/>
        </w:rPr>
        <w:t xml:space="preserve">DeFond, M. L., K. Raghunandan, and K. R. Subramanyam. 2002. Do nonaudit service fees impair auditor independence? Evidence from going-concern audit opinions. </w:t>
      </w:r>
      <w:r w:rsidRPr="007F32A3">
        <w:rPr>
          <w:rFonts w:ascii="Times New Roman" w:hAnsi="Times New Roman" w:cs="Times New Roman"/>
          <w:i/>
          <w:kern w:val="0"/>
          <w:szCs w:val="24"/>
        </w:rPr>
        <w:t>Journal of Accounting Research</w:t>
      </w:r>
      <w:r w:rsidRPr="007F32A3">
        <w:rPr>
          <w:rFonts w:ascii="Times New Roman" w:hAnsi="Times New Roman" w:cs="Times New Roman"/>
          <w:kern w:val="0"/>
          <w:szCs w:val="24"/>
        </w:rPr>
        <w:t xml:space="preserve"> 40 (4): 1247-1274.</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eastAsia="標楷體" w:hAnsi="Times New Roman" w:cs="Times New Roman"/>
        </w:rPr>
        <w:t xml:space="preserve">Duh, R., W. Lee, and C. Lin. 2009. Reversing an impairment loss and earnings management: The role of corporate governance. </w:t>
      </w:r>
      <w:r w:rsidRPr="007F32A3">
        <w:rPr>
          <w:rFonts w:ascii="Times New Roman" w:eastAsia="標楷體" w:hAnsi="Times New Roman" w:cs="Times New Roman"/>
          <w:i/>
        </w:rPr>
        <w:t>The International Journal of Accounting</w:t>
      </w:r>
      <w:r w:rsidRPr="007F32A3">
        <w:rPr>
          <w:rFonts w:ascii="Times New Roman" w:eastAsia="標楷體" w:hAnsi="Times New Roman" w:cs="Times New Roman"/>
        </w:rPr>
        <w:t xml:space="preserve"> 44: 113-137.</w:t>
      </w:r>
    </w:p>
    <w:p w:rsidR="0049200A" w:rsidRPr="007F32A3" w:rsidRDefault="0049200A" w:rsidP="0061290E">
      <w:pPr>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Emby, C. and M. Favere-Marchesi. 2010. Review partners and engagement partners: The interaction process in engagement quality review.</w:t>
      </w:r>
      <w:r w:rsidRPr="007F32A3">
        <w:rPr>
          <w:rFonts w:ascii="Times New Roman" w:hAnsi="Times New Roman" w:cs="Times New Roman"/>
          <w:i/>
          <w:szCs w:val="24"/>
        </w:rPr>
        <w:t xml:space="preserve"> Auditing: A Journal of Practice &amp; Theory</w:t>
      </w:r>
      <w:r w:rsidRPr="007F32A3">
        <w:rPr>
          <w:rFonts w:ascii="Times New Roman" w:hAnsi="Times New Roman" w:cs="Times New Roman"/>
          <w:szCs w:val="24"/>
        </w:rPr>
        <w:t xml:space="preserve"> 29 (2): 21-32.</w:t>
      </w:r>
    </w:p>
    <w:p w:rsidR="0049200A" w:rsidRPr="007F32A3" w:rsidRDefault="0049200A" w:rsidP="0061290E">
      <w:pPr>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kern w:val="0"/>
          <w:szCs w:val="24"/>
        </w:rPr>
        <w:t>Financial Reporting Council (FRC). 2014. International Standard on Auditing (UK and Ireland) 700. The independent auditor’s report on financial statements (September). London, U.K.: FRC.</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ArialUnicodeMS" w:hAnsi="Times New Roman" w:cs="Times New Roman"/>
          <w:kern w:val="0"/>
          <w:szCs w:val="24"/>
        </w:rPr>
      </w:pPr>
      <w:r w:rsidRPr="007F32A3">
        <w:rPr>
          <w:rFonts w:ascii="Times New Roman" w:eastAsia="ArialUnicodeMS" w:hAnsi="Times New Roman" w:cs="Times New Roman"/>
          <w:kern w:val="0"/>
          <w:szCs w:val="24"/>
        </w:rPr>
        <w:t xml:space="preserve">Francis, J., E. Maydew, and H. Sparks. 1999. The role of Big 6 auditors in the credible reporting of accruals. </w:t>
      </w:r>
      <w:r w:rsidRPr="007F32A3">
        <w:rPr>
          <w:rFonts w:ascii="Times New Roman" w:eastAsia="ArialUnicodeMS" w:hAnsi="Times New Roman" w:cs="Times New Roman"/>
          <w:i/>
          <w:iCs/>
          <w:kern w:val="0"/>
          <w:szCs w:val="24"/>
        </w:rPr>
        <w:t>Auditing: A Journal of Practice &amp; Theory</w:t>
      </w:r>
      <w:r w:rsidRPr="007F32A3">
        <w:rPr>
          <w:rFonts w:ascii="Times New Roman" w:eastAsia="ArialUnicodeMS" w:hAnsi="Times New Roman" w:cs="Times New Roman"/>
          <w:kern w:val="0"/>
          <w:szCs w:val="24"/>
        </w:rPr>
        <w:t xml:space="preserve"> 18 (Fall): 17-34. </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ArialUnicodeMS" w:hAnsi="Times New Roman" w:cs="Times New Roman"/>
          <w:kern w:val="0"/>
          <w:szCs w:val="24"/>
        </w:rPr>
      </w:pPr>
      <w:r w:rsidRPr="007F32A3">
        <w:rPr>
          <w:rFonts w:ascii="Times New Roman" w:eastAsia="ArialUnicodeMS" w:hAnsi="Times New Roman" w:cs="Times New Roman"/>
          <w:kern w:val="0"/>
          <w:szCs w:val="24"/>
        </w:rPr>
        <w:t xml:space="preserve">Geiger, M. A., and K. Raghunandan. 2002. Auditor tenure and audit reporting failures. </w:t>
      </w:r>
      <w:r w:rsidRPr="007F32A3">
        <w:rPr>
          <w:rFonts w:ascii="Times New Roman" w:eastAsia="ArialUnicodeMS" w:hAnsi="Times New Roman" w:cs="Times New Roman"/>
          <w:i/>
          <w:kern w:val="0"/>
          <w:szCs w:val="24"/>
        </w:rPr>
        <w:t>Auditing: A Journal of Practice &amp; Theory</w:t>
      </w:r>
      <w:r w:rsidRPr="007F32A3">
        <w:rPr>
          <w:rFonts w:ascii="Times New Roman" w:eastAsia="ArialUnicodeMS" w:hAnsi="Times New Roman" w:cs="Times New Roman"/>
          <w:kern w:val="0"/>
          <w:szCs w:val="24"/>
        </w:rPr>
        <w:t xml:space="preserve"> 21(1): 67-78.</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szCs w:val="24"/>
        </w:rPr>
        <w:t xml:space="preserve">Ghosh, A., and D. Moon. 2005. Auditor tenure and perceptions of audit quality. </w:t>
      </w:r>
      <w:r w:rsidRPr="007F32A3">
        <w:rPr>
          <w:rFonts w:ascii="Times New Roman" w:hAnsi="Times New Roman" w:cs="Times New Roman"/>
          <w:i/>
          <w:iCs/>
          <w:szCs w:val="24"/>
        </w:rPr>
        <w:t xml:space="preserve">Accounting Review </w:t>
      </w:r>
      <w:r w:rsidRPr="007F32A3">
        <w:rPr>
          <w:rFonts w:ascii="Times New Roman" w:hAnsi="Times New Roman" w:cs="Times New Roman"/>
          <w:szCs w:val="24"/>
        </w:rPr>
        <w:lastRenderedPageBreak/>
        <w:t>80: 585-612.</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Gimbar, C., B. Hansen, and M. E. Ozlanski. 2016. The effects of critical audit matter paragraphs and accounting standard precision on auditor liability. </w:t>
      </w:r>
      <w:r w:rsidRPr="007F32A3">
        <w:rPr>
          <w:rFonts w:ascii="Times New Roman" w:hAnsi="Times New Roman" w:cs="Times New Roman"/>
          <w:i/>
          <w:iCs/>
        </w:rPr>
        <w:t>Accounting Review</w:t>
      </w:r>
      <w:r w:rsidRPr="007F32A3">
        <w:rPr>
          <w:rFonts w:ascii="Times New Roman" w:hAnsi="Times New Roman" w:cs="Times New Roman"/>
        </w:rPr>
        <w:t xml:space="preserve"> </w:t>
      </w:r>
      <w:r w:rsidRPr="007F32A3">
        <w:rPr>
          <w:rFonts w:ascii="Times New Roman" w:hAnsi="Times New Roman" w:cs="Times New Roman"/>
          <w:iCs/>
        </w:rPr>
        <w:t>91</w:t>
      </w:r>
      <w:r w:rsidRPr="007F32A3">
        <w:rPr>
          <w:rFonts w:ascii="Times New Roman" w:hAnsi="Times New Roman" w:cs="Times New Roman"/>
        </w:rPr>
        <w:t>(6): 1629-1646.</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 xml:space="preserve">Gul, F. A., S. Y. K. Fung, and B. Jaggi. 2009. Earnings quality: Some evidence on the role of auditor tenure and auditors' industry expertise. </w:t>
      </w:r>
      <w:r w:rsidRPr="007F32A3">
        <w:rPr>
          <w:rFonts w:ascii="Times New Roman" w:hAnsi="Times New Roman" w:cs="Times New Roman"/>
          <w:i/>
          <w:iCs/>
          <w:szCs w:val="24"/>
        </w:rPr>
        <w:t xml:space="preserve">Journal of Accounting and Economics </w:t>
      </w:r>
      <w:r w:rsidRPr="007F32A3">
        <w:rPr>
          <w:rFonts w:ascii="Times New Roman" w:hAnsi="Times New Roman" w:cs="Times New Roman"/>
          <w:szCs w:val="24"/>
        </w:rPr>
        <w:t>47: 265-287.</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Gutierrez, E. F., M. Minutti-Meza, K. W. Tatum, and M. Vulcheva. 2018. Consequences of changing the auditor's report: Evidence from the U.K. </w:t>
      </w:r>
      <w:r w:rsidRPr="007F32A3">
        <w:rPr>
          <w:rFonts w:ascii="Times New Roman" w:hAnsi="Times New Roman" w:cs="Times New Roman"/>
          <w:i/>
        </w:rPr>
        <w:t>Working Paper</w:t>
      </w:r>
      <w:r w:rsidRPr="007F32A3">
        <w:rPr>
          <w:rFonts w:ascii="Times New Roman" w:hAnsi="Times New Roman" w:cs="Times New Roman"/>
        </w:rPr>
        <w:t>.</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International Auditing and Assurance Standards Board (IAASB). 2011. </w:t>
      </w:r>
      <w:r w:rsidRPr="007F32A3">
        <w:rPr>
          <w:rFonts w:ascii="Times New Roman" w:eastAsia="新細明體" w:hAnsi="Times New Roman" w:cs="Times New Roman"/>
          <w:i/>
          <w:kern w:val="0"/>
          <w:szCs w:val="24"/>
        </w:rPr>
        <w:t>Consultation Paper: Enhancing the Value of Auditor Reporting: Exploring Options for Change.</w:t>
      </w:r>
      <w:r w:rsidRPr="007F32A3">
        <w:rPr>
          <w:rFonts w:ascii="Times New Roman" w:eastAsia="新細明體" w:hAnsi="Times New Roman" w:cs="Times New Roman"/>
          <w:kern w:val="0"/>
          <w:szCs w:val="24"/>
        </w:rPr>
        <w:t xml:space="preserve"> New York, NY: International Federation of Accountants.</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International Auditing and Assurance Standards Board (IAASB). 2012a. </w:t>
      </w:r>
      <w:r w:rsidRPr="007F32A3">
        <w:rPr>
          <w:rFonts w:ascii="Times New Roman" w:eastAsia="新細明體" w:hAnsi="Times New Roman" w:cs="Times New Roman"/>
          <w:i/>
          <w:kern w:val="0"/>
          <w:szCs w:val="24"/>
        </w:rPr>
        <w:t>Invitation to Comment: Improving the Auditor’s Report.</w:t>
      </w:r>
      <w:r w:rsidRPr="007F32A3">
        <w:rPr>
          <w:rFonts w:ascii="Times New Roman" w:eastAsia="新細明體" w:hAnsi="Times New Roman" w:cs="Times New Roman"/>
          <w:kern w:val="0"/>
          <w:szCs w:val="24"/>
        </w:rPr>
        <w:t xml:space="preserve"> New York, NY: International Federation of Accountants.</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International Auditing and Assurance Standards Board (IAASB). 2012b. </w:t>
      </w:r>
      <w:r w:rsidRPr="007F32A3">
        <w:rPr>
          <w:rFonts w:ascii="Times New Roman" w:eastAsia="新細明體" w:hAnsi="Times New Roman" w:cs="Times New Roman"/>
          <w:i/>
          <w:kern w:val="0"/>
          <w:szCs w:val="24"/>
        </w:rPr>
        <w:t>Auditor Reporting: Summary of Responses Relating to Going Concern (GC).</w:t>
      </w:r>
      <w:r w:rsidRPr="007F32A3">
        <w:rPr>
          <w:rFonts w:ascii="Times New Roman" w:eastAsia="新細明體" w:hAnsi="Times New Roman" w:cs="Times New Roman"/>
          <w:kern w:val="0"/>
          <w:szCs w:val="24"/>
        </w:rPr>
        <w:t xml:space="preserve"> IAASB Main Agenda Item 6-B of the December 2012 IAASB Meeting. </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International Auditing and Assurance Standards Board (IAASB). 2013. </w:t>
      </w:r>
      <w:r w:rsidRPr="007F32A3">
        <w:rPr>
          <w:rFonts w:ascii="Times New Roman" w:eastAsia="新細明體" w:hAnsi="Times New Roman" w:cs="Times New Roman"/>
          <w:i/>
          <w:kern w:val="0"/>
          <w:szCs w:val="24"/>
        </w:rPr>
        <w:t>Exposure Draft. Reporting on Audited Financial Statements: Proposed New and Revised.</w:t>
      </w:r>
      <w:r w:rsidRPr="007F32A3">
        <w:rPr>
          <w:rFonts w:ascii="Times New Roman" w:eastAsia="新細明體" w:hAnsi="Times New Roman" w:cs="Times New Roman"/>
          <w:iCs/>
          <w:kern w:val="0"/>
          <w:szCs w:val="24"/>
        </w:rPr>
        <w:t xml:space="preserve"> International Standards on Auditing (ISAS).</w:t>
      </w:r>
      <w:r w:rsidRPr="007F32A3">
        <w:rPr>
          <w:rFonts w:ascii="Times New Roman" w:eastAsia="新細明體" w:hAnsi="Times New Roman" w:cs="Times New Roman"/>
          <w:i/>
          <w:kern w:val="0"/>
          <w:szCs w:val="24"/>
        </w:rPr>
        <w:t xml:space="preserve"> </w:t>
      </w:r>
      <w:r w:rsidRPr="007F32A3">
        <w:rPr>
          <w:rFonts w:ascii="Times New Roman" w:eastAsia="新細明體" w:hAnsi="Times New Roman" w:cs="Times New Roman"/>
          <w:kern w:val="0"/>
          <w:szCs w:val="24"/>
        </w:rPr>
        <w:t>New York, NY: International Federation of Accountants.</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International Auditing and Assurance Standards Board (IAASB). 2015a. </w:t>
      </w:r>
      <w:r w:rsidRPr="007F32A3">
        <w:rPr>
          <w:rFonts w:ascii="Times New Roman" w:eastAsia="新細明體" w:hAnsi="Times New Roman" w:cs="Times New Roman"/>
          <w:i/>
          <w:kern w:val="0"/>
          <w:szCs w:val="24"/>
        </w:rPr>
        <w:t xml:space="preserve">Forming an Opinion and Reporting on Financial Statements. </w:t>
      </w:r>
      <w:r w:rsidRPr="007F32A3">
        <w:rPr>
          <w:rFonts w:ascii="Times New Roman" w:eastAsia="新細明體" w:hAnsi="Times New Roman" w:cs="Times New Roman"/>
          <w:kern w:val="0"/>
          <w:szCs w:val="24"/>
        </w:rPr>
        <w:t>International Standard on Auditing (ISA) 700. New York, NY: International Federation of Accountants.</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International Auditing and Assurance Standards Board (IAASB). 2015b. </w:t>
      </w:r>
      <w:r w:rsidRPr="007F32A3">
        <w:rPr>
          <w:rFonts w:ascii="Times New Roman" w:eastAsia="新細明體" w:hAnsi="Times New Roman" w:cs="Times New Roman"/>
          <w:i/>
          <w:kern w:val="0"/>
          <w:szCs w:val="24"/>
        </w:rPr>
        <w:t>Communications Key Audit Matters in the Independent Auditor’s Report.</w:t>
      </w:r>
      <w:r w:rsidRPr="007F32A3">
        <w:rPr>
          <w:rFonts w:ascii="Times New Roman" w:eastAsia="新細明體" w:hAnsi="Times New Roman" w:cs="Times New Roman"/>
          <w:iCs/>
          <w:kern w:val="0"/>
          <w:szCs w:val="24"/>
        </w:rPr>
        <w:t xml:space="preserve"> </w:t>
      </w:r>
      <w:r w:rsidRPr="007F32A3">
        <w:rPr>
          <w:rFonts w:ascii="Times New Roman" w:eastAsia="新細明體" w:hAnsi="Times New Roman" w:cs="Times New Roman"/>
          <w:kern w:val="0"/>
          <w:szCs w:val="24"/>
        </w:rPr>
        <w:t xml:space="preserve">International Standard on Auditing (ISA) 701. </w:t>
      </w:r>
      <w:r w:rsidRPr="007F32A3">
        <w:rPr>
          <w:rFonts w:ascii="Times New Roman" w:eastAsia="新細明體" w:hAnsi="Times New Roman" w:cs="Times New Roman"/>
          <w:kern w:val="0"/>
          <w:szCs w:val="24"/>
        </w:rPr>
        <w:lastRenderedPageBreak/>
        <w:t>New York, NY: International Federation of Accountants.</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International Auditing and Assurance Standards Board (IAASB). 2015c. </w:t>
      </w:r>
      <w:r w:rsidRPr="007F32A3">
        <w:rPr>
          <w:rFonts w:ascii="Times New Roman" w:eastAsia="新細明體" w:hAnsi="Times New Roman" w:cs="Times New Roman"/>
          <w:i/>
          <w:kern w:val="0"/>
          <w:szCs w:val="24"/>
        </w:rPr>
        <w:t>At a Glance: New and Revised Auditor Reporting Standards and Related Conforming Amendments.</w:t>
      </w:r>
      <w:r w:rsidRPr="007F32A3">
        <w:rPr>
          <w:rFonts w:ascii="Times New Roman" w:eastAsia="新細明體" w:hAnsi="Times New Roman" w:cs="Times New Roman"/>
          <w:iCs/>
          <w:kern w:val="0"/>
          <w:szCs w:val="24"/>
        </w:rPr>
        <w:t xml:space="preserve"> </w:t>
      </w:r>
      <w:r w:rsidRPr="007F32A3">
        <w:rPr>
          <w:rFonts w:ascii="Times New Roman" w:eastAsia="新細明體" w:hAnsi="Times New Roman" w:cs="Times New Roman"/>
          <w:kern w:val="0"/>
          <w:szCs w:val="24"/>
        </w:rPr>
        <w:t xml:space="preserve">New York, NY: International Federation of Accountants. </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ArialUnicodeMS" w:hAnsi="Times New Roman" w:cs="Times New Roman"/>
          <w:kern w:val="0"/>
          <w:szCs w:val="24"/>
        </w:rPr>
      </w:pPr>
      <w:r w:rsidRPr="007F32A3">
        <w:rPr>
          <w:rFonts w:ascii="Times New Roman" w:eastAsia="ArialUnicodeMS" w:hAnsi="Times New Roman" w:cs="Times New Roman"/>
          <w:kern w:val="0"/>
          <w:szCs w:val="24"/>
        </w:rPr>
        <w:t>Johnson, V. E., I. K.</w:t>
      </w:r>
      <w:r w:rsidRPr="007F32A3">
        <w:rPr>
          <w:rFonts w:ascii="Times New Roman" w:hAnsi="Times New Roman" w:cs="Times New Roman"/>
          <w:kern w:val="0"/>
          <w:szCs w:val="24"/>
        </w:rPr>
        <w:t xml:space="preserve"> </w:t>
      </w:r>
      <w:r w:rsidRPr="007F32A3">
        <w:rPr>
          <w:rFonts w:ascii="Times New Roman" w:eastAsia="ArialUnicodeMS" w:hAnsi="Times New Roman" w:cs="Times New Roman"/>
          <w:kern w:val="0"/>
          <w:szCs w:val="24"/>
        </w:rPr>
        <w:t>Khurana, and J. K.</w:t>
      </w:r>
      <w:r w:rsidRPr="007F32A3">
        <w:rPr>
          <w:rFonts w:ascii="Times New Roman" w:hAnsi="Times New Roman" w:cs="Times New Roman"/>
          <w:kern w:val="0"/>
          <w:szCs w:val="24"/>
        </w:rPr>
        <w:t xml:space="preserve"> </w:t>
      </w:r>
      <w:r w:rsidRPr="007F32A3">
        <w:rPr>
          <w:rFonts w:ascii="Times New Roman" w:eastAsia="ArialUnicodeMS" w:hAnsi="Times New Roman" w:cs="Times New Roman"/>
          <w:kern w:val="0"/>
          <w:szCs w:val="24"/>
        </w:rPr>
        <w:t>Reynolds</w:t>
      </w:r>
      <w:r w:rsidRPr="007F32A3">
        <w:rPr>
          <w:rFonts w:ascii="Times New Roman" w:hAnsi="Times New Roman" w:cs="Times New Roman"/>
          <w:kern w:val="0"/>
          <w:szCs w:val="24"/>
        </w:rPr>
        <w:t>.</w:t>
      </w:r>
      <w:r w:rsidRPr="007F32A3">
        <w:rPr>
          <w:rFonts w:ascii="Times New Roman" w:eastAsia="ArialUnicodeMS" w:hAnsi="Times New Roman" w:cs="Times New Roman"/>
          <w:kern w:val="0"/>
          <w:szCs w:val="24"/>
        </w:rPr>
        <w:t xml:space="preserve"> 2002. Audit-firm tenure and the quality of financial reports.</w:t>
      </w:r>
      <w:r w:rsidRPr="007F32A3">
        <w:rPr>
          <w:rFonts w:ascii="Times New Roman" w:hAnsi="Times New Roman" w:cs="Times New Roman"/>
          <w:kern w:val="0"/>
          <w:szCs w:val="24"/>
        </w:rPr>
        <w:t xml:space="preserve"> </w:t>
      </w:r>
      <w:r w:rsidRPr="007F32A3">
        <w:rPr>
          <w:rFonts w:ascii="Times New Roman" w:eastAsia="ArialUnicodeMS" w:hAnsi="Times New Roman" w:cs="Times New Roman"/>
          <w:i/>
          <w:kern w:val="0"/>
          <w:szCs w:val="24"/>
        </w:rPr>
        <w:t>Contemporary Accounting Research</w:t>
      </w:r>
      <w:r w:rsidRPr="007F32A3">
        <w:rPr>
          <w:rFonts w:ascii="Times New Roman" w:eastAsia="ArialUnicodeMS" w:hAnsi="Times New Roman" w:cs="Times New Roman"/>
          <w:kern w:val="0"/>
          <w:szCs w:val="24"/>
        </w:rPr>
        <w:t xml:space="preserve"> 19(4): 637-660. </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ArialUnicodeMS" w:hAnsi="Times New Roman" w:cs="Times New Roman"/>
          <w:kern w:val="0"/>
          <w:szCs w:val="24"/>
        </w:rPr>
      </w:pPr>
      <w:r w:rsidRPr="007F32A3">
        <w:rPr>
          <w:rFonts w:ascii="Times New Roman" w:eastAsia="ArialUnicodeMS" w:hAnsi="Times New Roman" w:cs="Times New Roman"/>
          <w:kern w:val="0"/>
          <w:szCs w:val="24"/>
        </w:rPr>
        <w:t>Krishnan, J., and E.</w:t>
      </w:r>
      <w:r w:rsidRPr="007F32A3">
        <w:rPr>
          <w:rFonts w:ascii="Times New Roman" w:hAnsi="Times New Roman" w:cs="Times New Roman"/>
          <w:kern w:val="0"/>
          <w:szCs w:val="24"/>
        </w:rPr>
        <w:t xml:space="preserve"> </w:t>
      </w:r>
      <w:r w:rsidRPr="007F32A3">
        <w:rPr>
          <w:rFonts w:ascii="Times New Roman" w:eastAsia="ArialUnicodeMS" w:hAnsi="Times New Roman" w:cs="Times New Roman"/>
          <w:kern w:val="0"/>
          <w:szCs w:val="24"/>
        </w:rPr>
        <w:t>Press</w:t>
      </w:r>
      <w:r w:rsidRPr="007F32A3">
        <w:rPr>
          <w:rFonts w:ascii="Times New Roman" w:hAnsi="Times New Roman" w:cs="Times New Roman"/>
          <w:kern w:val="0"/>
          <w:szCs w:val="24"/>
        </w:rPr>
        <w:t>.</w:t>
      </w:r>
      <w:r w:rsidRPr="007F32A3">
        <w:rPr>
          <w:rFonts w:ascii="Times New Roman" w:eastAsia="ArialUnicodeMS" w:hAnsi="Times New Roman" w:cs="Times New Roman"/>
          <w:kern w:val="0"/>
          <w:szCs w:val="24"/>
        </w:rPr>
        <w:t xml:space="preserve"> 2003. The north American industry classification system and its implications for</w:t>
      </w:r>
      <w:r w:rsidRPr="007F32A3">
        <w:rPr>
          <w:rFonts w:ascii="Times New Roman" w:hAnsi="Times New Roman" w:cs="Times New Roman"/>
          <w:kern w:val="0"/>
          <w:szCs w:val="24"/>
        </w:rPr>
        <w:t xml:space="preserve"> </w:t>
      </w:r>
      <w:r w:rsidRPr="007F32A3">
        <w:rPr>
          <w:rFonts w:ascii="Times New Roman" w:eastAsia="ArialUnicodeMS" w:hAnsi="Times New Roman" w:cs="Times New Roman"/>
          <w:kern w:val="0"/>
          <w:szCs w:val="24"/>
        </w:rPr>
        <w:t xml:space="preserve">accounting research. </w:t>
      </w:r>
      <w:r w:rsidRPr="007F32A3">
        <w:rPr>
          <w:rFonts w:ascii="Times New Roman" w:eastAsia="ArialUnicodeMS" w:hAnsi="Times New Roman" w:cs="Times New Roman"/>
          <w:i/>
          <w:kern w:val="0"/>
          <w:szCs w:val="24"/>
        </w:rPr>
        <w:t>Contemporary Accounting Research</w:t>
      </w:r>
      <w:r w:rsidRPr="007F32A3">
        <w:rPr>
          <w:rFonts w:ascii="Times New Roman" w:eastAsia="ArialUnicodeMS" w:hAnsi="Times New Roman" w:cs="Times New Roman"/>
          <w:kern w:val="0"/>
          <w:szCs w:val="24"/>
        </w:rPr>
        <w:t xml:space="preserve"> 20(4): 685-717. </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kern w:val="0"/>
          <w:szCs w:val="24"/>
        </w:rPr>
        <w:t xml:space="preserve">Lennox, C., J. Schmidt, and A. Thompson. 2015. Is the expanded model of audit reporting informative to investors? Evidence from the UK. </w:t>
      </w:r>
      <w:r w:rsidRPr="007F32A3">
        <w:rPr>
          <w:rFonts w:ascii="Times New Roman" w:hAnsi="Times New Roman" w:cs="Times New Roman"/>
          <w:i/>
          <w:kern w:val="0"/>
          <w:szCs w:val="24"/>
        </w:rPr>
        <w:t>Working Paper</w:t>
      </w:r>
      <w:r w:rsidRPr="007F32A3">
        <w:rPr>
          <w:rFonts w:ascii="Times New Roman" w:hAnsi="Times New Roman" w:cs="Times New Roman"/>
          <w:kern w:val="0"/>
          <w:szCs w:val="24"/>
        </w:rPr>
        <w:t>.</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szCs w:val="24"/>
        </w:rPr>
        <w:t xml:space="preserve">Lim, C.Y., and H.T. Tan. 2010. Does auditor tenure improve audit quality? Moderating effects of industry specialization and fee dependence. </w:t>
      </w:r>
      <w:r w:rsidRPr="007F32A3">
        <w:rPr>
          <w:rFonts w:ascii="Times New Roman" w:hAnsi="Times New Roman" w:cs="Times New Roman"/>
          <w:i/>
          <w:iCs/>
          <w:szCs w:val="24"/>
        </w:rPr>
        <w:t xml:space="preserve">Contemporary Accounting Research </w:t>
      </w:r>
      <w:r w:rsidRPr="007F32A3">
        <w:rPr>
          <w:rFonts w:ascii="Times New Roman" w:hAnsi="Times New Roman" w:cs="Times New Roman"/>
          <w:szCs w:val="24"/>
        </w:rPr>
        <w:t>27(3): 923-957.</w:t>
      </w:r>
    </w:p>
    <w:p w:rsidR="0049200A" w:rsidRPr="007F32A3" w:rsidRDefault="0049200A" w:rsidP="0061290E">
      <w:pPr>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Liu, L., X. Xie, Y. Chang, and D. A. Forgione. 2017. New clients, audit quality, and audit partner industry expertise: Evidence from Taiwan. </w:t>
      </w:r>
      <w:r w:rsidRPr="007F32A3">
        <w:rPr>
          <w:rFonts w:ascii="Times New Roman" w:hAnsi="Times New Roman" w:cs="Times New Roman"/>
          <w:i/>
          <w:iCs/>
          <w:szCs w:val="24"/>
          <w:bdr w:val="none" w:sz="0" w:space="0" w:color="auto" w:frame="1"/>
        </w:rPr>
        <w:t>International Journal of Auditing</w:t>
      </w:r>
      <w:r w:rsidRPr="007F32A3">
        <w:rPr>
          <w:rFonts w:ascii="Times New Roman" w:hAnsi="Times New Roman" w:cs="Times New Roman"/>
          <w:szCs w:val="24"/>
        </w:rPr>
        <w:t> </w:t>
      </w:r>
      <w:r w:rsidRPr="007F32A3">
        <w:rPr>
          <w:rFonts w:ascii="Times New Roman" w:hAnsi="Times New Roman" w:cs="Times New Roman"/>
          <w:i/>
          <w:iCs/>
          <w:szCs w:val="24"/>
          <w:bdr w:val="none" w:sz="0" w:space="0" w:color="auto" w:frame="1"/>
        </w:rPr>
        <w:t>21</w:t>
      </w:r>
      <w:r w:rsidRPr="007F32A3">
        <w:rPr>
          <w:rFonts w:ascii="Times New Roman" w:hAnsi="Times New Roman" w:cs="Times New Roman"/>
          <w:szCs w:val="24"/>
        </w:rPr>
        <w:t xml:space="preserve">(3): 288-303. </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Mascarenhas, D., S. F. Cahan, and V. Naiker. 2010. The effect of audit specialists on the informativeness of discretionary accruals. </w:t>
      </w:r>
      <w:r w:rsidRPr="007F32A3">
        <w:rPr>
          <w:rFonts w:ascii="Times New Roman" w:hAnsi="Times New Roman" w:cs="Times New Roman"/>
          <w:i/>
          <w:iCs/>
          <w:szCs w:val="24"/>
        </w:rPr>
        <w:t>Journal of Accounting, Auditing and Finance</w:t>
      </w:r>
      <w:r w:rsidRPr="007F32A3">
        <w:rPr>
          <w:rFonts w:ascii="Times New Roman" w:hAnsi="Times New Roman" w:cs="Times New Roman"/>
          <w:szCs w:val="24"/>
        </w:rPr>
        <w:t xml:space="preserve"> </w:t>
      </w:r>
      <w:r w:rsidRPr="007F32A3">
        <w:rPr>
          <w:rFonts w:ascii="Times New Roman" w:hAnsi="Times New Roman" w:cs="Times New Roman"/>
          <w:i/>
          <w:iCs/>
          <w:szCs w:val="24"/>
        </w:rPr>
        <w:t>25</w:t>
      </w:r>
      <w:r w:rsidRPr="007F32A3">
        <w:rPr>
          <w:rFonts w:ascii="Times New Roman" w:hAnsi="Times New Roman" w:cs="Times New Roman"/>
          <w:szCs w:val="24"/>
        </w:rPr>
        <w:t>(1): 53 - 84.</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 xml:space="preserve">Myers, J. N., L. A. Myers, and T. C. Omer, 2003. Exploring the term of the auditor-client relationship and the quality of earnings: A case for mandatory auditor rotation? </w:t>
      </w:r>
      <w:r w:rsidRPr="007F32A3">
        <w:rPr>
          <w:rFonts w:ascii="Times New Roman" w:hAnsi="Times New Roman" w:cs="Times New Roman"/>
          <w:i/>
          <w:iCs/>
          <w:szCs w:val="24"/>
        </w:rPr>
        <w:t xml:space="preserve">Accounting Review </w:t>
      </w:r>
      <w:r w:rsidRPr="007F32A3">
        <w:rPr>
          <w:rFonts w:ascii="Times New Roman" w:hAnsi="Times New Roman" w:cs="Times New Roman"/>
          <w:szCs w:val="24"/>
        </w:rPr>
        <w:t>78: 779-799.</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 xml:space="preserve">Payne, J. L. 2008. The influence of audit firm specialization on analysts’ forecast errors. </w:t>
      </w:r>
      <w:r w:rsidRPr="007F32A3">
        <w:rPr>
          <w:rFonts w:ascii="Times New Roman" w:hAnsi="Times New Roman" w:cs="Times New Roman"/>
          <w:i/>
          <w:iCs/>
          <w:szCs w:val="24"/>
        </w:rPr>
        <w:t xml:space="preserve">Auditing: A Journal of Practice &amp; Theory </w:t>
      </w:r>
      <w:r w:rsidRPr="007F32A3">
        <w:rPr>
          <w:rFonts w:ascii="Times New Roman" w:hAnsi="Times New Roman" w:cs="Times New Roman"/>
          <w:szCs w:val="24"/>
        </w:rPr>
        <w:t>27(2): 109-136.</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hAnsi="Times New Roman" w:cs="Times New Roman"/>
          <w:szCs w:val="24"/>
        </w:rPr>
        <w:t xml:space="preserve">Public Company Accounting Oversight Board (PCAOB), 2011. </w:t>
      </w:r>
      <w:r w:rsidRPr="007F32A3">
        <w:rPr>
          <w:rFonts w:ascii="Times New Roman" w:hAnsi="Times New Roman" w:cs="Times New Roman"/>
          <w:i/>
          <w:iCs/>
          <w:szCs w:val="24"/>
        </w:rPr>
        <w:t xml:space="preserve">Concept Release on Auditor </w:t>
      </w:r>
      <w:r w:rsidRPr="007F32A3">
        <w:rPr>
          <w:rFonts w:ascii="Times New Roman" w:hAnsi="Times New Roman" w:cs="Times New Roman"/>
          <w:i/>
          <w:iCs/>
          <w:szCs w:val="24"/>
        </w:rPr>
        <w:lastRenderedPageBreak/>
        <w:t>Independence and Audit Firm Rotation</w:t>
      </w:r>
      <w:r w:rsidRPr="007F32A3">
        <w:rPr>
          <w:rFonts w:ascii="Times New Roman" w:hAnsi="Times New Roman" w:cs="Times New Roman"/>
          <w:szCs w:val="24"/>
        </w:rPr>
        <w:t>. PCAOB Release No. 2011-006, August 16, 2011. Washington: PCAOB.</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Public Company Accounting Oversight Board (PCAOB). 2013a. </w:t>
      </w:r>
      <w:r w:rsidRPr="007F32A3">
        <w:rPr>
          <w:rFonts w:ascii="Times New Roman" w:hAnsi="Times New Roman" w:cs="Times New Roman"/>
          <w:i/>
        </w:rPr>
        <w:t>The Auditor’s Report of an Audit of Financial Statements When the Auditor Expresses an Unqualified Opinion; The Auditor’s Responsibilities Regarding Other Information in Certain Documents Containing Audited Financial Statements and the Related Auditor’s Report.</w:t>
      </w:r>
      <w:r w:rsidRPr="007F32A3">
        <w:rPr>
          <w:rFonts w:ascii="Times New Roman" w:hAnsi="Times New Roman" w:cs="Times New Roman"/>
        </w:rPr>
        <w:t xml:space="preserve"> Release No. 2013-005. New York, NY: PCAOB.</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Public Company Accounting Oversight Board (PCAOB). 2013b. </w:t>
      </w:r>
      <w:r w:rsidRPr="007F32A3">
        <w:rPr>
          <w:rFonts w:ascii="Times New Roman" w:eastAsia="新細明體" w:hAnsi="Times New Roman" w:cs="Times New Roman"/>
          <w:i/>
          <w:kern w:val="0"/>
          <w:szCs w:val="24"/>
        </w:rPr>
        <w:t>Improving the Transparency of Audits: Proposed Amendments to PCAOB Auditing Standards to Provide Disclosure in the Auditor’s Report of Certain Participants in the Audit</w:t>
      </w:r>
      <w:r w:rsidRPr="007F32A3">
        <w:rPr>
          <w:rFonts w:ascii="Times New Roman" w:eastAsia="新細明體" w:hAnsi="Times New Roman" w:cs="Times New Roman"/>
          <w:kern w:val="0"/>
          <w:szCs w:val="24"/>
        </w:rPr>
        <w:t>. Release No. 2013-009. New York, NY: PCAOB.</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Public Company Accounting Oversight Board (PCAOB). 2013b. </w:t>
      </w:r>
      <w:r w:rsidRPr="007F32A3">
        <w:rPr>
          <w:rFonts w:ascii="Times New Roman" w:eastAsia="新細明體" w:hAnsi="Times New Roman" w:cs="Times New Roman"/>
          <w:i/>
          <w:kern w:val="0"/>
          <w:szCs w:val="24"/>
        </w:rPr>
        <w:t>Proposed Auditing Standard on the Auditor’s Report on an Audit of Financial Statements when the Auditor Expresses an Unqualified Opinion</w:t>
      </w:r>
      <w:r w:rsidRPr="007F32A3">
        <w:rPr>
          <w:rFonts w:ascii="Times New Roman" w:eastAsia="新細明體" w:hAnsi="Times New Roman" w:cs="Times New Roman"/>
          <w:kern w:val="0"/>
          <w:szCs w:val="24"/>
        </w:rPr>
        <w:t>. Release No. 2013-009. New York, NY: PCAOB.</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Public Company Accounting Oversight Board (PCAOB). 2015. </w:t>
      </w:r>
      <w:r w:rsidRPr="007F32A3">
        <w:rPr>
          <w:rFonts w:ascii="Times New Roman" w:eastAsia="新細明體" w:hAnsi="Times New Roman" w:cs="Times New Roman"/>
          <w:i/>
          <w:kern w:val="0"/>
          <w:szCs w:val="24"/>
        </w:rPr>
        <w:t>Supplemental Request for Comment: Rules to Require Disclosure of Certain Audit Participants on a New Form</w:t>
      </w:r>
      <w:r w:rsidRPr="007F32A3">
        <w:rPr>
          <w:rFonts w:ascii="Times New Roman" w:eastAsia="新細明體" w:hAnsi="Times New Roman" w:cs="Times New Roman"/>
          <w:kern w:val="0"/>
          <w:szCs w:val="24"/>
        </w:rPr>
        <w:t>. Release No. 2015-004. New York, NY: PCAOB.</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kern w:val="0"/>
          <w:szCs w:val="24"/>
        </w:rPr>
      </w:pPr>
      <w:r w:rsidRPr="007F32A3">
        <w:rPr>
          <w:rFonts w:ascii="Times New Roman" w:eastAsia="新細明體" w:hAnsi="Times New Roman" w:cs="Times New Roman"/>
          <w:kern w:val="0"/>
          <w:szCs w:val="24"/>
        </w:rPr>
        <w:t xml:space="preserve">Public Company Accounting Oversight Board (PCAOB). 2016. </w:t>
      </w:r>
      <w:r w:rsidRPr="007F32A3">
        <w:rPr>
          <w:rFonts w:ascii="Times New Roman" w:eastAsia="新細明體" w:hAnsi="Times New Roman" w:cs="Times New Roman"/>
          <w:i/>
          <w:kern w:val="0"/>
          <w:szCs w:val="24"/>
        </w:rPr>
        <w:t>Proposed Auditing Standard on the Auditor’s Report on an Audit of Financial Statements when the Auditor Expresses an Unqualified Opinion</w:t>
      </w:r>
      <w:r w:rsidRPr="007F32A3">
        <w:rPr>
          <w:rFonts w:ascii="Times New Roman" w:eastAsia="新細明體" w:hAnsi="Times New Roman" w:cs="Times New Roman"/>
          <w:kern w:val="0"/>
          <w:szCs w:val="24"/>
        </w:rPr>
        <w:t>. Release No. 2016-003. New York, NY: PCAOB.</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Public Company Accounting Oversight Board (PCAOB). 2017. </w:t>
      </w:r>
      <w:r w:rsidRPr="007F32A3">
        <w:rPr>
          <w:rFonts w:ascii="Times New Roman" w:hAnsi="Times New Roman" w:cs="Times New Roman"/>
          <w:i/>
          <w:iCs/>
        </w:rPr>
        <w:t>PCAOB Adopts New Standard to Enhance the Relevance and Usefulness of the Auditor's Report with Additional Information for Investors</w:t>
      </w:r>
      <w:r w:rsidRPr="007F32A3">
        <w:rPr>
          <w:rFonts w:ascii="Times New Roman" w:hAnsi="Times New Roman" w:cs="Times New Roman"/>
        </w:rPr>
        <w:t>. Release 2017. New York, NY: PCAOB.</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 xml:space="preserve">Reichelt, K.J. and D. Wang. 2010. National and office‐specific measures of auditor industry expertise </w:t>
      </w:r>
      <w:r w:rsidRPr="007F32A3">
        <w:rPr>
          <w:rFonts w:ascii="Times New Roman" w:hAnsi="Times New Roman" w:cs="Times New Roman"/>
          <w:szCs w:val="24"/>
        </w:rPr>
        <w:lastRenderedPageBreak/>
        <w:t xml:space="preserve">and effects on audit quality. </w:t>
      </w:r>
      <w:r w:rsidRPr="007F32A3">
        <w:rPr>
          <w:rFonts w:ascii="Times New Roman" w:hAnsi="Times New Roman" w:cs="Times New Roman"/>
          <w:i/>
          <w:iCs/>
          <w:szCs w:val="24"/>
        </w:rPr>
        <w:t>Journal of Accounting Research</w:t>
      </w:r>
      <w:r w:rsidRPr="007F32A3">
        <w:rPr>
          <w:rFonts w:ascii="Times New Roman" w:hAnsi="Times New Roman" w:cs="Times New Roman"/>
          <w:szCs w:val="24"/>
        </w:rPr>
        <w:t xml:space="preserve"> 48: 647-686.</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 xml:space="preserve">Reynolds, J. K., and J. Francis. 2000. Does size matter? The influence of large clients on office-level auditor reporting decisions. </w:t>
      </w:r>
      <w:r w:rsidRPr="007F32A3">
        <w:rPr>
          <w:rFonts w:ascii="Times New Roman" w:hAnsi="Times New Roman" w:cs="Times New Roman"/>
          <w:i/>
          <w:iCs/>
          <w:szCs w:val="24"/>
        </w:rPr>
        <w:t xml:space="preserve">Journal of Accounting and Economic </w:t>
      </w:r>
      <w:r w:rsidRPr="007F32A3">
        <w:rPr>
          <w:rFonts w:ascii="Times New Roman" w:hAnsi="Times New Roman" w:cs="Times New Roman"/>
          <w:iCs/>
          <w:szCs w:val="24"/>
        </w:rPr>
        <w:t>30</w:t>
      </w:r>
      <w:r w:rsidRPr="007F32A3">
        <w:rPr>
          <w:rFonts w:ascii="Times New Roman" w:hAnsi="Times New Roman" w:cs="Times New Roman"/>
          <w:szCs w:val="24"/>
        </w:rPr>
        <w:t>: 375-400.</w:t>
      </w:r>
    </w:p>
    <w:p w:rsidR="0049200A" w:rsidRPr="007F32A3" w:rsidRDefault="0049200A" w:rsidP="0061290E">
      <w:pPr>
        <w:autoSpaceDE w:val="0"/>
        <w:autoSpaceDN w:val="0"/>
        <w:adjustRightInd w:val="0"/>
        <w:snapToGrid w:val="0"/>
        <w:spacing w:beforeLines="50" w:before="180" w:afterLines="50" w:after="180" w:line="480" w:lineRule="auto"/>
        <w:ind w:left="480" w:hangingChars="200" w:hanging="480"/>
        <w:jc w:val="both"/>
        <w:rPr>
          <w:rFonts w:ascii="Times New Roman" w:hAnsi="Times New Roman" w:cs="Times New Roman"/>
          <w:szCs w:val="24"/>
        </w:rPr>
      </w:pPr>
      <w:r w:rsidRPr="007F32A3">
        <w:rPr>
          <w:rFonts w:ascii="Times New Roman" w:hAnsi="Times New Roman" w:cs="Times New Roman"/>
          <w:szCs w:val="24"/>
        </w:rPr>
        <w:t xml:space="preserve">Robinson, D. </w:t>
      </w:r>
      <w:r w:rsidRPr="007F32A3">
        <w:rPr>
          <w:rFonts w:ascii="Times New Roman" w:hAnsi="Times New Roman" w:cs="Times New Roman"/>
          <w:i/>
          <w:iCs/>
          <w:szCs w:val="24"/>
        </w:rPr>
        <w:t>2008</w:t>
      </w:r>
      <w:r w:rsidRPr="007F32A3">
        <w:rPr>
          <w:rFonts w:ascii="Times New Roman" w:hAnsi="Times New Roman" w:cs="Times New Roman"/>
          <w:szCs w:val="24"/>
        </w:rPr>
        <w:t xml:space="preserve">. Auditor independence and auditor-provided tax service: Evidence from Going-concern audit opinions prior to bankruptcy filings. </w:t>
      </w:r>
      <w:r w:rsidRPr="007F32A3">
        <w:rPr>
          <w:rFonts w:ascii="Times New Roman" w:hAnsi="Times New Roman" w:cs="Times New Roman"/>
          <w:i/>
          <w:iCs/>
          <w:szCs w:val="24"/>
        </w:rPr>
        <w:t xml:space="preserve">Auditing: A Journal of Practice &amp; Theory </w:t>
      </w:r>
      <w:r w:rsidRPr="007F32A3">
        <w:rPr>
          <w:rFonts w:ascii="Times New Roman" w:hAnsi="Times New Roman" w:cs="Times New Roman"/>
          <w:szCs w:val="24"/>
        </w:rPr>
        <w:t>27(2): 31-54.</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Rose-Green, E., H. W. Huang, and C. C. Lee. 2011. The association between auditor industry specialization and firms’ disclosure of internal control weaknesses. </w:t>
      </w:r>
      <w:r w:rsidRPr="007F32A3">
        <w:rPr>
          <w:rFonts w:ascii="Times New Roman" w:hAnsi="Times New Roman" w:cs="Times New Roman"/>
          <w:i/>
          <w:iCs/>
          <w:bdr w:val="none" w:sz="0" w:space="0" w:color="auto" w:frame="1"/>
        </w:rPr>
        <w:t>International Journal of Auditing</w:t>
      </w:r>
      <w:r w:rsidRPr="007F32A3">
        <w:rPr>
          <w:rFonts w:ascii="Times New Roman" w:hAnsi="Times New Roman" w:cs="Times New Roman"/>
        </w:rPr>
        <w:t xml:space="preserve"> </w:t>
      </w:r>
      <w:r w:rsidRPr="007F32A3">
        <w:rPr>
          <w:rFonts w:ascii="Times New Roman" w:hAnsi="Times New Roman" w:cs="Times New Roman"/>
          <w:i/>
          <w:iCs/>
          <w:bdr w:val="none" w:sz="0" w:space="0" w:color="auto" w:frame="1"/>
        </w:rPr>
        <w:t>15</w:t>
      </w:r>
      <w:r w:rsidRPr="007F32A3">
        <w:rPr>
          <w:rFonts w:ascii="Times New Roman" w:hAnsi="Times New Roman" w:cs="Times New Roman"/>
        </w:rPr>
        <w:t xml:space="preserve">(2): 204-216. </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Romanus, R. N., J. J. Maher, and D. M. Fleming. 2008. Auditor industry specialization, auditor changes, and accounting restatements. </w:t>
      </w:r>
      <w:r w:rsidRPr="007F32A3">
        <w:rPr>
          <w:rFonts w:ascii="Times New Roman" w:hAnsi="Times New Roman" w:cs="Times New Roman"/>
          <w:i/>
          <w:iCs/>
        </w:rPr>
        <w:t>Accounting Horizons</w:t>
      </w:r>
      <w:r w:rsidRPr="007F32A3">
        <w:rPr>
          <w:rFonts w:ascii="Times New Roman" w:hAnsi="Times New Roman" w:cs="Times New Roman"/>
        </w:rPr>
        <w:t xml:space="preserve"> 22(4): 389-413.</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Simnett, R. and A. Huggins. 2014. Enhancing the auditor's report: To what extent is there support for the IAASB's proposed changes? </w:t>
      </w:r>
      <w:r w:rsidRPr="007F32A3">
        <w:rPr>
          <w:rFonts w:ascii="Times New Roman" w:hAnsi="Times New Roman" w:cs="Times New Roman"/>
          <w:i/>
          <w:iCs/>
        </w:rPr>
        <w:t>Accounting Horizons</w:t>
      </w:r>
      <w:r w:rsidRPr="007F32A3">
        <w:rPr>
          <w:rFonts w:ascii="Times New Roman" w:hAnsi="Times New Roman" w:cs="Times New Roman"/>
        </w:rPr>
        <w:t xml:space="preserve"> 28(4): 719-747.</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Sirois, L. P., J. Be´dard, and P. Bera. 2018. The informational value of key audit matters in the auditor’s report: Evidence from an eye-tracking study. </w:t>
      </w:r>
      <w:r w:rsidRPr="007F32A3">
        <w:rPr>
          <w:rFonts w:ascii="Times New Roman" w:hAnsi="Times New Roman" w:cs="Times New Roman"/>
          <w:i/>
        </w:rPr>
        <w:t xml:space="preserve">Accounting Horizons </w:t>
      </w:r>
      <w:r w:rsidRPr="007F32A3">
        <w:rPr>
          <w:rFonts w:ascii="Times New Roman" w:hAnsi="Times New Roman" w:cs="Times New Roman"/>
        </w:rPr>
        <w:t>32(2): 141-162.</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Sultana, N., H. Singh, and J. M. Van der Zahn. 2015. Audit committee characteristics and audit report lag. </w:t>
      </w:r>
      <w:r w:rsidRPr="007F32A3">
        <w:rPr>
          <w:rFonts w:ascii="Times New Roman" w:hAnsi="Times New Roman" w:cs="Times New Roman"/>
          <w:i/>
          <w:iCs/>
        </w:rPr>
        <w:t>International Journal of Auditing</w:t>
      </w:r>
      <w:r w:rsidRPr="007F32A3">
        <w:rPr>
          <w:rFonts w:ascii="Times New Roman" w:hAnsi="Times New Roman" w:cs="Times New Roman"/>
        </w:rPr>
        <w:t xml:space="preserve"> </w:t>
      </w:r>
      <w:r w:rsidRPr="007F32A3">
        <w:rPr>
          <w:rFonts w:ascii="Times New Roman" w:hAnsi="Times New Roman" w:cs="Times New Roman"/>
          <w:iCs/>
        </w:rPr>
        <w:t>19</w:t>
      </w:r>
      <w:r w:rsidRPr="007F32A3">
        <w:rPr>
          <w:rFonts w:ascii="Times New Roman" w:hAnsi="Times New Roman" w:cs="Times New Roman"/>
        </w:rPr>
        <w:t>(2): 72-87.</w:t>
      </w:r>
    </w:p>
    <w:p w:rsidR="0049200A" w:rsidRPr="007F32A3" w:rsidRDefault="0049200A" w:rsidP="0061290E">
      <w:pPr>
        <w:pStyle w:val="body-paragraph4"/>
        <w:snapToGrid w:val="0"/>
        <w:spacing w:beforeLines="50" w:before="180" w:beforeAutospacing="0" w:afterLines="50" w:after="180" w:afterAutospacing="0" w:line="480" w:lineRule="auto"/>
        <w:ind w:left="480" w:hangingChars="200" w:hanging="480"/>
        <w:jc w:val="both"/>
        <w:rPr>
          <w:rFonts w:ascii="Times New Roman" w:hAnsi="Times New Roman" w:cs="Times New Roman"/>
        </w:rPr>
      </w:pPr>
      <w:r w:rsidRPr="007F32A3">
        <w:rPr>
          <w:rFonts w:ascii="Times New Roman" w:hAnsi="Times New Roman" w:cs="Times New Roman"/>
        </w:rPr>
        <w:t xml:space="preserve">Vanstraelen, A., C. Schelleman, R. Meuwissen and I. Hofmann. 2012. The audit reporting debate: Seemingly intractable problems and feasible solutions. </w:t>
      </w:r>
      <w:r w:rsidRPr="007F32A3">
        <w:rPr>
          <w:rFonts w:ascii="Times New Roman" w:hAnsi="Times New Roman" w:cs="Times New Roman"/>
          <w:i/>
          <w:iCs/>
        </w:rPr>
        <w:t>European Accounting Review</w:t>
      </w:r>
      <w:r w:rsidRPr="007F32A3">
        <w:rPr>
          <w:rFonts w:ascii="Times New Roman" w:hAnsi="Times New Roman" w:cs="Times New Roman"/>
        </w:rPr>
        <w:t xml:space="preserve"> 21(2): 193-215.</w:t>
      </w:r>
    </w:p>
    <w:p w:rsidR="001B3952" w:rsidRPr="007F32A3" w:rsidRDefault="001B3952" w:rsidP="0049200A">
      <w:pPr>
        <w:spacing w:beforeLines="50" w:before="180" w:afterLines="50" w:after="180"/>
        <w:ind w:firstLineChars="200" w:firstLine="480"/>
        <w:jc w:val="both"/>
        <w:rPr>
          <w:rFonts w:ascii="Times New Roman" w:hAnsi="Times New Roman" w:cs="Times New Roman"/>
          <w:strike/>
          <w:shd w:val="clear" w:color="auto" w:fill="FFFFFF"/>
        </w:rPr>
      </w:pPr>
    </w:p>
    <w:p w:rsidR="005331D8" w:rsidRPr="007F32A3" w:rsidRDefault="005331D8">
      <w:pPr>
        <w:rPr>
          <w:rFonts w:ascii="Times New Roman" w:hAnsi="Times New Roman" w:cs="Times New Roman"/>
        </w:rPr>
      </w:pPr>
      <w:r w:rsidRPr="007F32A3">
        <w:rPr>
          <w:rFonts w:ascii="Times New Roman" w:hAnsi="Times New Roman" w:cs="Times New Roman"/>
        </w:rPr>
        <w:br w:type="page"/>
      </w:r>
    </w:p>
    <w:tbl>
      <w:tblPr>
        <w:tblW w:w="4961" w:type="pct"/>
        <w:tblLayout w:type="fixed"/>
        <w:tblCellMar>
          <w:left w:w="28" w:type="dxa"/>
          <w:right w:w="28" w:type="dxa"/>
        </w:tblCellMar>
        <w:tblLook w:val="04A0" w:firstRow="1" w:lastRow="0" w:firstColumn="1" w:lastColumn="0" w:noHBand="0" w:noVBand="1"/>
      </w:tblPr>
      <w:tblGrid>
        <w:gridCol w:w="1810"/>
        <w:gridCol w:w="1152"/>
        <w:gridCol w:w="824"/>
        <w:gridCol w:w="821"/>
        <w:gridCol w:w="822"/>
        <w:gridCol w:w="82"/>
        <w:gridCol w:w="673"/>
        <w:gridCol w:w="109"/>
        <w:gridCol w:w="143"/>
        <w:gridCol w:w="111"/>
        <w:gridCol w:w="363"/>
        <w:gridCol w:w="331"/>
        <w:gridCol w:w="492"/>
        <w:gridCol w:w="480"/>
        <w:gridCol w:w="346"/>
        <w:gridCol w:w="602"/>
        <w:gridCol w:w="392"/>
        <w:gridCol w:w="10"/>
      </w:tblGrid>
      <w:tr w:rsidR="007F32A3" w:rsidRPr="007F32A3" w:rsidTr="006130AF">
        <w:trPr>
          <w:trHeight w:val="336"/>
        </w:trPr>
        <w:tc>
          <w:tcPr>
            <w:tcW w:w="5000" w:type="pct"/>
            <w:gridSpan w:val="18"/>
            <w:tcBorders>
              <w:top w:val="nil"/>
              <w:left w:val="nil"/>
              <w:bottom w:val="single" w:sz="8" w:space="0" w:color="auto"/>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center"/>
              <w:rPr>
                <w:rFonts w:ascii="Times New Roman" w:hAnsi="Times New Roman" w:cs="Times New Roman"/>
                <w:b/>
                <w:bCs/>
                <w:kern w:val="0"/>
                <w:sz w:val="22"/>
                <w:shd w:val="clear" w:color="auto" w:fill="FFFFFF"/>
              </w:rPr>
            </w:pPr>
            <w:r w:rsidRPr="007F32A3">
              <w:rPr>
                <w:rFonts w:ascii="Times New Roman" w:hAnsi="Times New Roman" w:cs="Times New Roman"/>
                <w:b/>
                <w:bCs/>
                <w:kern w:val="0"/>
                <w:sz w:val="22"/>
                <w:shd w:val="clear" w:color="auto" w:fill="FFFFFF"/>
              </w:rPr>
              <w:lastRenderedPageBreak/>
              <w:t>Table 1: Sample Selection</w:t>
            </w:r>
          </w:p>
        </w:tc>
      </w:tr>
      <w:tr w:rsidR="007F32A3" w:rsidRPr="007F32A3" w:rsidTr="006C3321">
        <w:trPr>
          <w:gridAfter w:val="1"/>
          <w:wAfter w:w="5" w:type="pct"/>
          <w:trHeight w:val="312"/>
        </w:trPr>
        <w:tc>
          <w:tcPr>
            <w:tcW w:w="2881" w:type="pct"/>
            <w:gridSpan w:val="6"/>
            <w:tcBorders>
              <w:top w:val="nil"/>
              <w:left w:val="nil"/>
              <w:bottom w:val="nil"/>
              <w:right w:val="nil"/>
            </w:tcBorders>
            <w:shd w:val="clear" w:color="auto" w:fill="auto"/>
            <w:noWrap/>
            <w:vAlign w:val="center"/>
            <w:hideMark/>
          </w:tcPr>
          <w:p w:rsidR="00B404DD" w:rsidRPr="007F32A3" w:rsidRDefault="00B404DD" w:rsidP="00B404DD">
            <w:pPr>
              <w:widowControl/>
              <w:spacing w:beforeLines="50" w:before="180" w:afterLines="50" w:after="180"/>
              <w:contextualSpacing/>
              <w:jc w:val="both"/>
              <w:rPr>
                <w:rFonts w:ascii="Times New Roman" w:hAnsi="Times New Roman" w:cs="Times New Roman"/>
                <w:b/>
                <w:bCs/>
                <w:kern w:val="0"/>
                <w:sz w:val="22"/>
                <w:shd w:val="clear" w:color="auto" w:fill="FFFFFF"/>
              </w:rPr>
            </w:pPr>
            <w:r w:rsidRPr="007F32A3">
              <w:rPr>
                <w:rFonts w:ascii="Times New Roman" w:hAnsi="Times New Roman" w:cs="Times New Roman"/>
                <w:b/>
                <w:bCs/>
                <w:kern w:val="0"/>
                <w:sz w:val="22"/>
                <w:shd w:val="clear" w:color="auto" w:fill="FFFFFF"/>
              </w:rPr>
              <w:t>Panel A: Sample Selection</w:t>
            </w:r>
          </w:p>
        </w:tc>
        <w:tc>
          <w:tcPr>
            <w:tcW w:w="409" w:type="pct"/>
            <w:gridSpan w:val="2"/>
            <w:tcBorders>
              <w:top w:val="nil"/>
              <w:left w:val="nil"/>
              <w:bottom w:val="nil"/>
              <w:right w:val="nil"/>
            </w:tcBorders>
            <w:shd w:val="clear" w:color="auto" w:fill="auto"/>
            <w:noWrap/>
            <w:vAlign w:val="center"/>
            <w:hideMark/>
          </w:tcPr>
          <w:p w:rsidR="00B404DD" w:rsidRPr="007F32A3" w:rsidRDefault="00B404DD" w:rsidP="00B404DD">
            <w:pPr>
              <w:widowControl/>
              <w:spacing w:beforeLines="50" w:before="180" w:afterLines="50" w:after="180"/>
              <w:contextualSpacing/>
              <w:jc w:val="both"/>
              <w:rPr>
                <w:rFonts w:ascii="Times New Roman" w:hAnsi="Times New Roman" w:cs="Times New Roman"/>
                <w:b/>
                <w:bCs/>
                <w:kern w:val="0"/>
                <w:sz w:val="22"/>
                <w:shd w:val="clear" w:color="auto" w:fill="FFFFFF"/>
              </w:rPr>
            </w:pPr>
          </w:p>
        </w:tc>
        <w:tc>
          <w:tcPr>
            <w:tcW w:w="75" w:type="pct"/>
            <w:tcBorders>
              <w:top w:val="nil"/>
              <w:left w:val="nil"/>
              <w:bottom w:val="nil"/>
              <w:right w:val="nil"/>
            </w:tcBorders>
            <w:shd w:val="clear" w:color="auto" w:fill="auto"/>
            <w:noWrap/>
            <w:vAlign w:val="center"/>
            <w:hideMark/>
          </w:tcPr>
          <w:p w:rsidR="00B404DD" w:rsidRPr="007F32A3" w:rsidRDefault="00B404DD" w:rsidP="00B404DD">
            <w:pPr>
              <w:widowControl/>
              <w:spacing w:beforeLines="50" w:before="180" w:afterLines="50" w:after="180"/>
              <w:contextualSpacing/>
              <w:jc w:val="both"/>
              <w:rPr>
                <w:rFonts w:ascii="Times New Roman" w:hAnsi="Times New Roman" w:cs="Times New Roman"/>
                <w:b/>
                <w:bCs/>
                <w:kern w:val="0"/>
                <w:sz w:val="22"/>
                <w:shd w:val="clear" w:color="auto" w:fill="FFFFFF"/>
              </w:rPr>
            </w:pPr>
          </w:p>
        </w:tc>
        <w:tc>
          <w:tcPr>
            <w:tcW w:w="58" w:type="pct"/>
            <w:tcBorders>
              <w:top w:val="nil"/>
              <w:left w:val="nil"/>
              <w:bottom w:val="nil"/>
              <w:right w:val="nil"/>
            </w:tcBorders>
            <w:shd w:val="clear" w:color="auto" w:fill="auto"/>
            <w:noWrap/>
            <w:vAlign w:val="center"/>
            <w:hideMark/>
          </w:tcPr>
          <w:p w:rsidR="00B404DD" w:rsidRPr="007F32A3" w:rsidRDefault="00B404DD" w:rsidP="00B404DD">
            <w:pPr>
              <w:widowControl/>
              <w:spacing w:beforeLines="50" w:before="180" w:afterLines="50" w:after="180"/>
              <w:contextualSpacing/>
              <w:jc w:val="both"/>
              <w:rPr>
                <w:rFonts w:ascii="Times New Roman" w:hAnsi="Times New Roman" w:cs="Times New Roman"/>
                <w:b/>
                <w:bCs/>
                <w:kern w:val="0"/>
                <w:sz w:val="22"/>
                <w:shd w:val="clear" w:color="auto" w:fill="FFFFFF"/>
              </w:rPr>
            </w:pPr>
          </w:p>
        </w:tc>
        <w:tc>
          <w:tcPr>
            <w:tcW w:w="871" w:type="pct"/>
            <w:gridSpan w:val="4"/>
            <w:tcBorders>
              <w:top w:val="nil"/>
              <w:left w:val="nil"/>
              <w:bottom w:val="nil"/>
              <w:right w:val="nil"/>
            </w:tcBorders>
            <w:shd w:val="clear" w:color="auto" w:fill="auto"/>
            <w:noWrap/>
            <w:vAlign w:val="center"/>
            <w:hideMark/>
          </w:tcPr>
          <w:p w:rsidR="00B404DD" w:rsidRPr="007F32A3" w:rsidRDefault="00B404DD" w:rsidP="00B404DD">
            <w:pPr>
              <w:widowControl/>
              <w:spacing w:beforeLines="50" w:before="180" w:afterLines="50" w:after="180"/>
              <w:contextualSpacing/>
              <w:jc w:val="both"/>
              <w:rPr>
                <w:rFonts w:ascii="Times New Roman" w:hAnsi="Times New Roman" w:cs="Times New Roman"/>
                <w:b/>
                <w:bCs/>
                <w:kern w:val="0"/>
                <w:sz w:val="22"/>
                <w:shd w:val="clear" w:color="auto" w:fill="FFFFFF"/>
              </w:rPr>
            </w:pPr>
          </w:p>
        </w:tc>
        <w:tc>
          <w:tcPr>
            <w:tcW w:w="701" w:type="pct"/>
            <w:gridSpan w:val="3"/>
            <w:tcBorders>
              <w:top w:val="nil"/>
              <w:left w:val="nil"/>
              <w:bottom w:val="nil"/>
              <w:right w:val="nil"/>
            </w:tcBorders>
            <w:shd w:val="clear" w:color="auto" w:fill="auto"/>
            <w:noWrap/>
            <w:vAlign w:val="center"/>
            <w:hideMark/>
          </w:tcPr>
          <w:p w:rsidR="00B404DD" w:rsidRPr="007F32A3" w:rsidRDefault="00B404DD" w:rsidP="00B404DD">
            <w:pPr>
              <w:widowControl/>
              <w:spacing w:beforeLines="50" w:before="180" w:afterLines="50" w:after="180"/>
              <w:contextualSpacing/>
              <w:jc w:val="both"/>
              <w:rPr>
                <w:rFonts w:ascii="Times New Roman" w:hAnsi="Times New Roman" w:cs="Times New Roman"/>
                <w:b/>
                <w:bCs/>
                <w:kern w:val="0"/>
                <w:sz w:val="22"/>
                <w:shd w:val="clear" w:color="auto" w:fill="FFFFFF"/>
              </w:rPr>
            </w:pPr>
          </w:p>
        </w:tc>
      </w:tr>
      <w:tr w:rsidR="007F32A3" w:rsidRPr="007F32A3" w:rsidTr="0020334E">
        <w:trPr>
          <w:trHeight w:val="312"/>
        </w:trPr>
        <w:tc>
          <w:tcPr>
            <w:tcW w:w="3365" w:type="pct"/>
            <w:gridSpan w:val="9"/>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r w:rsidRPr="007F32A3">
              <w:rPr>
                <w:rFonts w:ascii="Times New Roman" w:hAnsi="Times New Roman" w:cs="Times New Roman"/>
                <w:kern w:val="0"/>
                <w:sz w:val="22"/>
                <w:shd w:val="clear" w:color="auto" w:fill="FFFFFF"/>
              </w:rPr>
              <w:t>Total listed companies on TWSE in 2016</w:t>
            </w:r>
          </w:p>
        </w:tc>
        <w:tc>
          <w:tcPr>
            <w:tcW w:w="421" w:type="pct"/>
            <w:gridSpan w:val="3"/>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1004" w:type="pct"/>
            <w:gridSpan w:val="4"/>
            <w:tcBorders>
              <w:top w:val="nil"/>
              <w:left w:val="nil"/>
              <w:bottom w:val="nil"/>
              <w:right w:val="nil"/>
            </w:tcBorders>
            <w:shd w:val="clear" w:color="auto" w:fill="auto"/>
            <w:noWrap/>
            <w:vAlign w:val="center"/>
            <w:hideMark/>
          </w:tcPr>
          <w:p w:rsidR="00AE3D06" w:rsidRPr="007F32A3" w:rsidRDefault="006D60F3" w:rsidP="00B404DD">
            <w:pPr>
              <w:widowControl/>
              <w:spacing w:beforeLines="50" w:before="180" w:afterLines="50" w:after="180"/>
              <w:contextualSpacing/>
              <w:jc w:val="right"/>
              <w:rPr>
                <w:rFonts w:ascii="Times New Roman" w:hAnsi="Times New Roman" w:cs="Times New Roman"/>
                <w:kern w:val="0"/>
                <w:sz w:val="22"/>
                <w:shd w:val="clear" w:color="auto" w:fill="FFFFFF"/>
              </w:rPr>
            </w:pPr>
            <w:r w:rsidRPr="007F32A3">
              <w:rPr>
                <w:rFonts w:ascii="Times New Roman" w:hAnsi="Times New Roman" w:cs="Times New Roman"/>
                <w:kern w:val="0"/>
                <w:sz w:val="22"/>
                <w:shd w:val="clear" w:color="auto" w:fill="FFFFFF"/>
              </w:rPr>
              <w:t>1,</w:t>
            </w:r>
            <w:r w:rsidR="00AE3D06" w:rsidRPr="007F32A3">
              <w:rPr>
                <w:rFonts w:ascii="Times New Roman" w:hAnsi="Times New Roman" w:cs="Times New Roman"/>
                <w:kern w:val="0"/>
                <w:sz w:val="22"/>
                <w:shd w:val="clear" w:color="auto" w:fill="FFFFFF"/>
              </w:rPr>
              <w:t>71</w:t>
            </w:r>
            <w:r w:rsidRPr="007F32A3">
              <w:rPr>
                <w:rFonts w:ascii="Times New Roman" w:hAnsi="Times New Roman" w:cs="Times New Roman"/>
                <w:kern w:val="0"/>
                <w:sz w:val="22"/>
                <w:shd w:val="clear" w:color="auto" w:fill="FFFFFF"/>
              </w:rPr>
              <w:t>3</w:t>
            </w:r>
            <w:r w:rsidR="00AE3D06" w:rsidRPr="007F32A3">
              <w:rPr>
                <w:rFonts w:ascii="Times New Roman" w:hAnsi="Times New Roman" w:cs="Times New Roman"/>
                <w:kern w:val="0"/>
                <w:sz w:val="22"/>
                <w:shd w:val="clear" w:color="auto" w:fill="FFFFFF"/>
              </w:rPr>
              <w:t xml:space="preserve"> </w:t>
            </w:r>
          </w:p>
        </w:tc>
        <w:tc>
          <w:tcPr>
            <w:tcW w:w="210" w:type="pct"/>
            <w:gridSpan w:val="2"/>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p>
        </w:tc>
      </w:tr>
      <w:tr w:rsidR="007F32A3" w:rsidRPr="007F32A3" w:rsidTr="0020334E">
        <w:trPr>
          <w:trHeight w:val="312"/>
        </w:trPr>
        <w:tc>
          <w:tcPr>
            <w:tcW w:w="3290" w:type="pct"/>
            <w:gridSpan w:val="8"/>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r w:rsidRPr="007F32A3">
              <w:rPr>
                <w:rFonts w:ascii="Times New Roman" w:hAnsi="Times New Roman" w:cs="Times New Roman"/>
                <w:kern w:val="0"/>
                <w:sz w:val="22"/>
                <w:shd w:val="clear" w:color="auto" w:fill="FFFFFF"/>
              </w:rPr>
              <w:t xml:space="preserve">Less: financial institutions </w:t>
            </w:r>
            <w:r w:rsidR="00993144" w:rsidRPr="007F32A3">
              <w:rPr>
                <w:rFonts w:ascii="Times New Roman" w:hAnsi="Times New Roman" w:cs="Times New Roman"/>
                <w:kern w:val="0"/>
                <w:sz w:val="22"/>
                <w:shd w:val="clear" w:color="auto" w:fill="FFFFFF"/>
              </w:rPr>
              <w:t>and TDR companies</w:t>
            </w:r>
          </w:p>
        </w:tc>
        <w:tc>
          <w:tcPr>
            <w:tcW w:w="75" w:type="pct"/>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58" w:type="pct"/>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363" w:type="pct"/>
            <w:gridSpan w:val="2"/>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1004" w:type="pct"/>
            <w:gridSpan w:val="4"/>
            <w:tcBorders>
              <w:top w:val="nil"/>
              <w:left w:val="nil"/>
              <w:bottom w:val="nil"/>
              <w:right w:val="nil"/>
            </w:tcBorders>
            <w:shd w:val="clear" w:color="auto" w:fill="auto"/>
            <w:noWrap/>
            <w:vAlign w:val="center"/>
            <w:hideMark/>
          </w:tcPr>
          <w:p w:rsidR="00AE3D06" w:rsidRPr="007F32A3" w:rsidRDefault="00AE3D06" w:rsidP="00993144">
            <w:pPr>
              <w:widowControl/>
              <w:spacing w:beforeLines="50" w:before="180" w:afterLines="50" w:after="180"/>
              <w:contextualSpacing/>
              <w:jc w:val="right"/>
              <w:rPr>
                <w:rFonts w:ascii="Times New Roman" w:hAnsi="Times New Roman" w:cs="Times New Roman"/>
                <w:kern w:val="0"/>
                <w:sz w:val="22"/>
                <w:shd w:val="clear" w:color="auto" w:fill="FFFFFF"/>
              </w:rPr>
            </w:pPr>
            <w:r w:rsidRPr="007F32A3">
              <w:rPr>
                <w:rFonts w:ascii="Times New Roman" w:hAnsi="Times New Roman" w:cs="Times New Roman"/>
                <w:kern w:val="0"/>
                <w:sz w:val="22"/>
                <w:shd w:val="clear" w:color="auto" w:fill="FFFFFF"/>
              </w:rPr>
              <w:t>(</w:t>
            </w:r>
            <w:r w:rsidR="00993144" w:rsidRPr="007F32A3">
              <w:rPr>
                <w:rFonts w:ascii="Times New Roman" w:hAnsi="Times New Roman" w:cs="Times New Roman"/>
                <w:kern w:val="0"/>
                <w:sz w:val="22"/>
                <w:shd w:val="clear" w:color="auto" w:fill="FFFFFF"/>
              </w:rPr>
              <w:t>61</w:t>
            </w:r>
            <w:r w:rsidRPr="007F32A3">
              <w:rPr>
                <w:rFonts w:ascii="Times New Roman" w:hAnsi="Times New Roman" w:cs="Times New Roman"/>
                <w:kern w:val="0"/>
                <w:sz w:val="22"/>
                <w:shd w:val="clear" w:color="auto" w:fill="FFFFFF"/>
              </w:rPr>
              <w:t>)</w:t>
            </w:r>
          </w:p>
        </w:tc>
        <w:tc>
          <w:tcPr>
            <w:tcW w:w="210" w:type="pct"/>
            <w:gridSpan w:val="2"/>
            <w:tcBorders>
              <w:top w:val="nil"/>
              <w:left w:val="nil"/>
              <w:bottom w:val="nil"/>
              <w:right w:val="nil"/>
            </w:tcBorders>
            <w:shd w:val="clear" w:color="auto" w:fill="auto"/>
            <w:noWrap/>
            <w:vAlign w:val="center"/>
            <w:hideMark/>
          </w:tcPr>
          <w:p w:rsidR="00AE3D06" w:rsidRPr="007F32A3" w:rsidRDefault="00AE3D06" w:rsidP="00B404DD">
            <w:pPr>
              <w:widowControl/>
              <w:spacing w:beforeLines="50" w:before="180" w:afterLines="50" w:after="180"/>
              <w:contextualSpacing/>
              <w:jc w:val="both"/>
              <w:rPr>
                <w:rFonts w:ascii="Times New Roman" w:hAnsi="Times New Roman" w:cs="Times New Roman"/>
                <w:kern w:val="0"/>
                <w:sz w:val="22"/>
                <w:shd w:val="clear" w:color="auto" w:fill="FFFFFF"/>
              </w:rPr>
            </w:pPr>
          </w:p>
        </w:tc>
      </w:tr>
      <w:tr w:rsidR="007F32A3" w:rsidRPr="007F32A3" w:rsidTr="0020334E">
        <w:trPr>
          <w:trHeight w:val="312"/>
        </w:trPr>
        <w:tc>
          <w:tcPr>
            <w:tcW w:w="3365" w:type="pct"/>
            <w:gridSpan w:val="9"/>
            <w:tcBorders>
              <w:top w:val="nil"/>
              <w:left w:val="nil"/>
              <w:bottom w:val="nil"/>
              <w:right w:val="nil"/>
            </w:tcBorders>
            <w:shd w:val="clear" w:color="auto" w:fill="auto"/>
            <w:noWrap/>
            <w:vAlign w:val="center"/>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r w:rsidRPr="007F32A3">
              <w:rPr>
                <w:rFonts w:ascii="Times New Roman" w:hAnsi="Times New Roman" w:cs="Times New Roman"/>
                <w:kern w:val="0"/>
                <w:sz w:val="22"/>
                <w:shd w:val="clear" w:color="auto" w:fill="FFFFFF"/>
              </w:rPr>
              <w:t xml:space="preserve">Less: Companies without sufficient data </w:t>
            </w:r>
          </w:p>
        </w:tc>
        <w:tc>
          <w:tcPr>
            <w:tcW w:w="421" w:type="pct"/>
            <w:gridSpan w:val="3"/>
            <w:tcBorders>
              <w:top w:val="nil"/>
              <w:left w:val="nil"/>
              <w:bottom w:val="nil"/>
              <w:right w:val="nil"/>
            </w:tcBorders>
            <w:shd w:val="clear" w:color="auto" w:fill="auto"/>
            <w:noWrap/>
            <w:vAlign w:val="center"/>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1004" w:type="pct"/>
            <w:gridSpan w:val="4"/>
            <w:tcBorders>
              <w:top w:val="nil"/>
              <w:left w:val="nil"/>
              <w:bottom w:val="nil"/>
              <w:right w:val="nil"/>
            </w:tcBorders>
            <w:shd w:val="clear" w:color="auto" w:fill="auto"/>
            <w:noWrap/>
            <w:vAlign w:val="center"/>
          </w:tcPr>
          <w:p w:rsidR="006D60F3" w:rsidRPr="007F32A3" w:rsidRDefault="006D60F3" w:rsidP="006D60F3">
            <w:pPr>
              <w:widowControl/>
              <w:spacing w:beforeLines="50" w:before="180" w:afterLines="50" w:after="180"/>
              <w:contextualSpacing/>
              <w:jc w:val="right"/>
              <w:rPr>
                <w:rFonts w:ascii="Times New Roman" w:hAnsi="Times New Roman" w:cs="Times New Roman"/>
                <w:kern w:val="0"/>
                <w:sz w:val="22"/>
                <w:u w:val="single"/>
                <w:shd w:val="clear" w:color="auto" w:fill="FFFFFF"/>
              </w:rPr>
            </w:pPr>
            <w:r w:rsidRPr="007F32A3">
              <w:rPr>
                <w:rFonts w:ascii="Times New Roman" w:hAnsi="Times New Roman" w:cs="Times New Roman"/>
                <w:kern w:val="0"/>
                <w:sz w:val="22"/>
                <w:u w:val="single"/>
                <w:shd w:val="clear" w:color="auto" w:fill="FFFFFF"/>
              </w:rPr>
              <w:t xml:space="preserve">   (9</w:t>
            </w:r>
            <w:r w:rsidR="007158F9" w:rsidRPr="007F32A3">
              <w:rPr>
                <w:rFonts w:ascii="Times New Roman" w:hAnsi="Times New Roman" w:cs="Times New Roman"/>
                <w:kern w:val="0"/>
                <w:sz w:val="22"/>
                <w:u w:val="single"/>
                <w:shd w:val="clear" w:color="auto" w:fill="FFFFFF"/>
              </w:rPr>
              <w:t>8</w:t>
            </w:r>
            <w:r w:rsidRPr="007F32A3">
              <w:rPr>
                <w:rFonts w:ascii="Times New Roman" w:hAnsi="Times New Roman" w:cs="Times New Roman"/>
                <w:kern w:val="0"/>
                <w:sz w:val="22"/>
                <w:u w:val="single"/>
                <w:shd w:val="clear" w:color="auto" w:fill="FFFFFF"/>
              </w:rPr>
              <w:t>)</w:t>
            </w:r>
          </w:p>
        </w:tc>
        <w:tc>
          <w:tcPr>
            <w:tcW w:w="210" w:type="pct"/>
            <w:gridSpan w:val="2"/>
            <w:tcBorders>
              <w:top w:val="nil"/>
              <w:left w:val="nil"/>
              <w:bottom w:val="nil"/>
              <w:right w:val="nil"/>
            </w:tcBorders>
            <w:shd w:val="clear" w:color="auto" w:fill="auto"/>
            <w:noWrap/>
            <w:vAlign w:val="center"/>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p>
        </w:tc>
      </w:tr>
      <w:tr w:rsidR="007F32A3" w:rsidRPr="007F32A3" w:rsidTr="0020334E">
        <w:trPr>
          <w:trHeight w:val="312"/>
        </w:trPr>
        <w:tc>
          <w:tcPr>
            <w:tcW w:w="3290" w:type="pct"/>
            <w:gridSpan w:val="8"/>
            <w:tcBorders>
              <w:top w:val="nil"/>
              <w:left w:val="nil"/>
              <w:bottom w:val="nil"/>
              <w:right w:val="nil"/>
            </w:tcBorders>
            <w:shd w:val="clear" w:color="auto" w:fill="auto"/>
            <w:noWrap/>
            <w:vAlign w:val="center"/>
            <w:hideMark/>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r w:rsidRPr="007F32A3">
              <w:rPr>
                <w:rFonts w:ascii="Times New Roman" w:hAnsi="Times New Roman" w:cs="Times New Roman"/>
                <w:kern w:val="0"/>
                <w:sz w:val="22"/>
                <w:shd w:val="clear" w:color="auto" w:fill="FFFFFF"/>
              </w:rPr>
              <w:t>Final Sample</w:t>
            </w:r>
          </w:p>
        </w:tc>
        <w:tc>
          <w:tcPr>
            <w:tcW w:w="75" w:type="pct"/>
            <w:tcBorders>
              <w:top w:val="nil"/>
              <w:left w:val="nil"/>
              <w:bottom w:val="nil"/>
              <w:right w:val="nil"/>
            </w:tcBorders>
            <w:shd w:val="clear" w:color="auto" w:fill="auto"/>
            <w:noWrap/>
            <w:vAlign w:val="center"/>
            <w:hideMark/>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58" w:type="pct"/>
            <w:tcBorders>
              <w:top w:val="nil"/>
              <w:left w:val="nil"/>
              <w:bottom w:val="nil"/>
              <w:right w:val="nil"/>
            </w:tcBorders>
            <w:shd w:val="clear" w:color="auto" w:fill="auto"/>
            <w:noWrap/>
            <w:vAlign w:val="center"/>
            <w:hideMark/>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363" w:type="pct"/>
            <w:gridSpan w:val="2"/>
            <w:tcBorders>
              <w:top w:val="nil"/>
              <w:left w:val="nil"/>
              <w:bottom w:val="nil"/>
              <w:right w:val="nil"/>
            </w:tcBorders>
            <w:shd w:val="clear" w:color="auto" w:fill="auto"/>
            <w:noWrap/>
            <w:vAlign w:val="center"/>
            <w:hideMark/>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p>
        </w:tc>
        <w:tc>
          <w:tcPr>
            <w:tcW w:w="1004" w:type="pct"/>
            <w:gridSpan w:val="4"/>
            <w:tcBorders>
              <w:top w:val="nil"/>
              <w:left w:val="nil"/>
              <w:bottom w:val="nil"/>
              <w:right w:val="nil"/>
            </w:tcBorders>
            <w:shd w:val="clear" w:color="auto" w:fill="auto"/>
            <w:noWrap/>
            <w:vAlign w:val="center"/>
            <w:hideMark/>
          </w:tcPr>
          <w:p w:rsidR="006D60F3" w:rsidRPr="007F32A3" w:rsidRDefault="006D60F3" w:rsidP="006D60F3">
            <w:pPr>
              <w:widowControl/>
              <w:spacing w:beforeLines="50" w:before="180" w:afterLines="50" w:after="180"/>
              <w:contextualSpacing/>
              <w:jc w:val="right"/>
              <w:rPr>
                <w:rFonts w:ascii="Times New Roman" w:hAnsi="Times New Roman" w:cs="Times New Roman"/>
                <w:kern w:val="0"/>
                <w:sz w:val="22"/>
                <w:u w:val="double"/>
                <w:shd w:val="clear" w:color="auto" w:fill="FFFFFF"/>
              </w:rPr>
            </w:pPr>
            <w:r w:rsidRPr="007F32A3">
              <w:rPr>
                <w:rFonts w:ascii="Times New Roman" w:hAnsi="Times New Roman" w:cs="Times New Roman"/>
                <w:kern w:val="0"/>
                <w:sz w:val="22"/>
                <w:u w:val="double"/>
                <w:shd w:val="clear" w:color="auto" w:fill="FFFFFF"/>
              </w:rPr>
              <w:t xml:space="preserve"> 1,55</w:t>
            </w:r>
            <w:r w:rsidR="007158F9" w:rsidRPr="007F32A3">
              <w:rPr>
                <w:rFonts w:ascii="Times New Roman" w:hAnsi="Times New Roman" w:cs="Times New Roman"/>
                <w:kern w:val="0"/>
                <w:sz w:val="22"/>
                <w:u w:val="double"/>
                <w:shd w:val="clear" w:color="auto" w:fill="FFFFFF"/>
              </w:rPr>
              <w:t>4</w:t>
            </w:r>
            <w:r w:rsidRPr="007F32A3">
              <w:rPr>
                <w:rFonts w:ascii="Times New Roman" w:hAnsi="Times New Roman" w:cs="Times New Roman"/>
                <w:kern w:val="0"/>
                <w:sz w:val="22"/>
                <w:u w:val="double"/>
                <w:shd w:val="clear" w:color="auto" w:fill="FFFFFF"/>
              </w:rPr>
              <w:t xml:space="preserve"> </w:t>
            </w:r>
          </w:p>
        </w:tc>
        <w:tc>
          <w:tcPr>
            <w:tcW w:w="210" w:type="pct"/>
            <w:gridSpan w:val="2"/>
            <w:tcBorders>
              <w:top w:val="nil"/>
              <w:left w:val="nil"/>
              <w:bottom w:val="nil"/>
              <w:right w:val="nil"/>
            </w:tcBorders>
            <w:shd w:val="clear" w:color="auto" w:fill="auto"/>
            <w:noWrap/>
            <w:vAlign w:val="center"/>
            <w:hideMark/>
          </w:tcPr>
          <w:p w:rsidR="006D60F3" w:rsidRPr="007F32A3" w:rsidRDefault="006D60F3" w:rsidP="006D60F3">
            <w:pPr>
              <w:widowControl/>
              <w:spacing w:beforeLines="50" w:before="180" w:afterLines="50" w:after="180"/>
              <w:contextualSpacing/>
              <w:jc w:val="both"/>
              <w:rPr>
                <w:rFonts w:ascii="Times New Roman" w:hAnsi="Times New Roman" w:cs="Times New Roman"/>
                <w:kern w:val="0"/>
                <w:sz w:val="22"/>
                <w:shd w:val="clear" w:color="auto" w:fill="FFFFFF"/>
              </w:rPr>
            </w:pPr>
          </w:p>
        </w:tc>
      </w:tr>
      <w:tr w:rsidR="007F32A3" w:rsidRPr="007F32A3" w:rsidTr="0020334E">
        <w:trPr>
          <w:gridAfter w:val="1"/>
          <w:wAfter w:w="5" w:type="pct"/>
          <w:trHeight w:val="330"/>
        </w:trPr>
        <w:tc>
          <w:tcPr>
            <w:tcW w:w="4995" w:type="pct"/>
            <w:gridSpan w:val="17"/>
            <w:tcBorders>
              <w:top w:val="single" w:sz="8" w:space="0" w:color="auto"/>
              <w:left w:val="nil"/>
              <w:bottom w:val="nil"/>
            </w:tcBorders>
            <w:shd w:val="clear" w:color="auto" w:fill="auto"/>
            <w:vAlign w:val="bottom"/>
          </w:tcPr>
          <w:p w:rsidR="001F018A" w:rsidRPr="007F32A3" w:rsidRDefault="001F018A" w:rsidP="00B404DD">
            <w:pPr>
              <w:widowControl/>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Panel B  Sample Distributions</w:t>
            </w:r>
          </w:p>
        </w:tc>
      </w:tr>
      <w:tr w:rsidR="007F32A3" w:rsidRPr="007F32A3" w:rsidTr="0020334E">
        <w:trPr>
          <w:gridAfter w:val="1"/>
          <w:wAfter w:w="5" w:type="pct"/>
          <w:trHeight w:val="330"/>
        </w:trPr>
        <w:tc>
          <w:tcPr>
            <w:tcW w:w="946" w:type="pct"/>
            <w:vMerge w:val="restart"/>
            <w:tcBorders>
              <w:top w:val="single" w:sz="4" w:space="0" w:color="auto"/>
              <w:left w:val="nil"/>
              <w:bottom w:val="single" w:sz="4" w:space="0" w:color="000000"/>
              <w:right w:val="nil"/>
            </w:tcBorders>
            <w:shd w:val="clear" w:color="auto" w:fill="auto"/>
            <w:noWrap/>
            <w:vAlign w:val="center"/>
            <w:hideMark/>
          </w:tcPr>
          <w:p w:rsidR="00FF7BAF" w:rsidRPr="007F32A3" w:rsidRDefault="00FF7BAF" w:rsidP="00FF7BAF">
            <w:pPr>
              <w:widowControl/>
              <w:snapToGrid w:val="0"/>
              <w:jc w:val="both"/>
              <w:rPr>
                <w:rFonts w:ascii="Times New Roman" w:eastAsia="新細明體" w:hAnsi="Times New Roman" w:cs="Times New Roman"/>
                <w:kern w:val="0"/>
                <w:sz w:val="22"/>
              </w:rPr>
            </w:pPr>
            <w:r w:rsidRPr="007F32A3">
              <w:rPr>
                <w:rFonts w:ascii="Times New Roman" w:eastAsia="標楷體" w:hAnsi="Times New Roman" w:cs="Times New Roman"/>
                <w:kern w:val="0"/>
                <w:sz w:val="22"/>
              </w:rPr>
              <w:t>Industry</w:t>
            </w:r>
          </w:p>
        </w:tc>
        <w:tc>
          <w:tcPr>
            <w:tcW w:w="602" w:type="pct"/>
            <w:vMerge w:val="restart"/>
            <w:tcBorders>
              <w:top w:val="single" w:sz="4" w:space="0" w:color="auto"/>
              <w:left w:val="nil"/>
              <w:right w:val="nil"/>
            </w:tcBorders>
            <w:shd w:val="clear" w:color="auto" w:fill="auto"/>
            <w:noWrap/>
            <w:vAlign w:val="center"/>
          </w:tcPr>
          <w:p w:rsidR="00FF7BAF" w:rsidRPr="007F32A3" w:rsidRDefault="00FF7BAF" w:rsidP="001F018A">
            <w:pPr>
              <w:widowControl/>
              <w:snapToGrid w:val="0"/>
              <w:jc w:val="center"/>
              <w:rPr>
                <w:rFonts w:ascii="Times New Roman" w:eastAsia="新細明體" w:hAnsi="Times New Roman" w:cs="Times New Roman"/>
                <w:kern w:val="0"/>
                <w:sz w:val="22"/>
              </w:rPr>
            </w:pPr>
          </w:p>
          <w:p w:rsidR="00FF7BAF" w:rsidRPr="007F32A3" w:rsidRDefault="00FF7BAF" w:rsidP="00FF7BAF">
            <w:pPr>
              <w:widowControl/>
              <w:snapToGrid w:val="0"/>
              <w:ind w:leftChars="-15" w:left="-36" w:rightChars="-15" w:right="-36"/>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Number of sample companies</w:t>
            </w:r>
          </w:p>
        </w:tc>
        <w:tc>
          <w:tcPr>
            <w:tcW w:w="431" w:type="pct"/>
            <w:vMerge w:val="restart"/>
            <w:tcBorders>
              <w:top w:val="single" w:sz="4" w:space="0" w:color="auto"/>
              <w:left w:val="nil"/>
              <w:right w:val="nil"/>
            </w:tcBorders>
            <w:shd w:val="clear" w:color="auto" w:fill="auto"/>
            <w:noWrap/>
            <w:vAlign w:val="center"/>
          </w:tcPr>
          <w:p w:rsidR="00FF7BAF" w:rsidRPr="007F32A3" w:rsidRDefault="00FF7BAF" w:rsidP="001F018A">
            <w:pPr>
              <w:snapToGrid w:val="0"/>
              <w:jc w:val="center"/>
              <w:rPr>
                <w:rFonts w:ascii="Times New Roman" w:eastAsia="新細明體" w:hAnsi="Times New Roman" w:cs="Times New Roman"/>
                <w:kern w:val="0"/>
                <w:sz w:val="22"/>
              </w:rPr>
            </w:pPr>
          </w:p>
          <w:p w:rsidR="00FF7BAF" w:rsidRPr="007F32A3" w:rsidRDefault="00FF7BAF" w:rsidP="001F018A">
            <w:pPr>
              <w:snapToGrid w:val="0"/>
              <w:jc w:val="center"/>
              <w:rPr>
                <w:rFonts w:ascii="Times New Roman" w:eastAsia="新細明體" w:hAnsi="Times New Roman" w:cs="Times New Roman"/>
                <w:kern w:val="0"/>
                <w:sz w:val="22"/>
              </w:rPr>
            </w:pPr>
          </w:p>
          <w:p w:rsidR="00FF7BAF" w:rsidRPr="007F32A3" w:rsidRDefault="00FF7BAF" w:rsidP="001F018A">
            <w:pPr>
              <w:snapToGrid w:val="0"/>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  %</w:t>
            </w:r>
          </w:p>
        </w:tc>
        <w:tc>
          <w:tcPr>
            <w:tcW w:w="2496" w:type="pct"/>
            <w:gridSpan w:val="12"/>
            <w:tcBorders>
              <w:top w:val="single" w:sz="4" w:space="0" w:color="auto"/>
              <w:left w:val="nil"/>
              <w:bottom w:val="single" w:sz="4" w:space="0" w:color="auto"/>
            </w:tcBorders>
            <w:shd w:val="clear" w:color="auto" w:fill="auto"/>
            <w:noWrap/>
            <w:vAlign w:val="center"/>
          </w:tcPr>
          <w:p w:rsidR="00FF7BAF" w:rsidRPr="007F32A3" w:rsidRDefault="00FF7BAF" w:rsidP="001F018A">
            <w:pPr>
              <w:widowControl/>
              <w:snapToGrid w:val="0"/>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Average Scores of each KAM</w:t>
            </w:r>
          </w:p>
        </w:tc>
        <w:tc>
          <w:tcPr>
            <w:tcW w:w="520" w:type="pct"/>
            <w:gridSpan w:val="2"/>
            <w:vMerge w:val="restart"/>
            <w:tcBorders>
              <w:top w:val="single" w:sz="4" w:space="0" w:color="auto"/>
              <w:bottom w:val="single" w:sz="4" w:space="0" w:color="auto"/>
              <w:right w:val="nil"/>
            </w:tcBorders>
            <w:shd w:val="clear" w:color="auto" w:fill="auto"/>
            <w:noWrap/>
            <w:vAlign w:val="center"/>
            <w:hideMark/>
          </w:tcPr>
          <w:p w:rsidR="00FF7BAF" w:rsidRPr="007F32A3" w:rsidRDefault="00FF7BAF" w:rsidP="001F018A">
            <w:pPr>
              <w:widowControl/>
              <w:snapToGrid w:val="0"/>
              <w:jc w:val="center"/>
              <w:rPr>
                <w:rFonts w:ascii="Times New Roman" w:eastAsia="標楷體" w:hAnsi="Times New Roman" w:cs="Times New Roman"/>
                <w:kern w:val="0"/>
                <w:sz w:val="22"/>
              </w:rPr>
            </w:pPr>
            <w:r w:rsidRPr="007F32A3">
              <w:rPr>
                <w:rFonts w:ascii="Times New Roman" w:eastAsia="標楷體" w:hAnsi="Times New Roman" w:cs="Times New Roman"/>
                <w:kern w:val="0"/>
                <w:sz w:val="22"/>
              </w:rPr>
              <w:t>Average KAM</w:t>
            </w:r>
          </w:p>
          <w:p w:rsidR="00FF7BAF" w:rsidRPr="007F32A3" w:rsidRDefault="00FF7BAF" w:rsidP="001F018A">
            <w:pPr>
              <w:widowControl/>
              <w:snapToGrid w:val="0"/>
              <w:jc w:val="center"/>
              <w:rPr>
                <w:rFonts w:ascii="Times New Roman" w:eastAsia="新細明體" w:hAnsi="Times New Roman" w:cs="Times New Roman"/>
                <w:kern w:val="0"/>
                <w:sz w:val="22"/>
              </w:rPr>
            </w:pPr>
            <w:r w:rsidRPr="007F32A3">
              <w:rPr>
                <w:rFonts w:ascii="Times New Roman" w:eastAsia="標楷體" w:hAnsi="Times New Roman" w:cs="Times New Roman"/>
                <w:kern w:val="0"/>
                <w:sz w:val="22"/>
              </w:rPr>
              <w:t>score</w:t>
            </w:r>
          </w:p>
          <w:p w:rsidR="00FF7BAF" w:rsidRPr="007F32A3" w:rsidRDefault="00FF7BAF" w:rsidP="006130AF">
            <w:pPr>
              <w:snapToGrid w:val="0"/>
              <w:ind w:leftChars="-15" w:left="-36" w:rightChars="-15" w:right="-36"/>
              <w:jc w:val="center"/>
              <w:rPr>
                <w:rFonts w:ascii="Times New Roman" w:eastAsia="新細明體" w:hAnsi="Times New Roman" w:cs="Times New Roman"/>
                <w:kern w:val="0"/>
                <w:sz w:val="22"/>
              </w:rPr>
            </w:pPr>
            <w:r w:rsidRPr="007F32A3">
              <w:rPr>
                <w:rFonts w:ascii="Times New Roman" w:eastAsia="標楷體" w:hAnsi="Times New Roman" w:cs="Times New Roman"/>
                <w:kern w:val="0"/>
                <w:sz w:val="22"/>
              </w:rPr>
              <w:t>of each company</w:t>
            </w:r>
          </w:p>
        </w:tc>
      </w:tr>
      <w:tr w:rsidR="007F32A3" w:rsidRPr="007F32A3" w:rsidTr="0020334E">
        <w:trPr>
          <w:gridAfter w:val="1"/>
          <w:wAfter w:w="5" w:type="pct"/>
          <w:trHeight w:val="330"/>
        </w:trPr>
        <w:tc>
          <w:tcPr>
            <w:tcW w:w="946" w:type="pct"/>
            <w:vMerge/>
            <w:tcBorders>
              <w:top w:val="single" w:sz="4" w:space="0" w:color="auto"/>
              <w:left w:val="nil"/>
              <w:bottom w:val="single" w:sz="4" w:space="0" w:color="000000"/>
              <w:right w:val="nil"/>
            </w:tcBorders>
            <w:vAlign w:val="center"/>
            <w:hideMark/>
          </w:tcPr>
          <w:p w:rsidR="00FF7BAF" w:rsidRPr="007F32A3" w:rsidRDefault="00FF7BAF" w:rsidP="001F018A">
            <w:pPr>
              <w:widowControl/>
              <w:snapToGrid w:val="0"/>
              <w:rPr>
                <w:rFonts w:ascii="Times New Roman" w:eastAsia="新細明體" w:hAnsi="Times New Roman" w:cs="Times New Roman"/>
                <w:kern w:val="0"/>
                <w:sz w:val="22"/>
              </w:rPr>
            </w:pPr>
          </w:p>
        </w:tc>
        <w:tc>
          <w:tcPr>
            <w:tcW w:w="602" w:type="pct"/>
            <w:vMerge/>
            <w:tcBorders>
              <w:top w:val="single" w:sz="4" w:space="0" w:color="auto"/>
              <w:left w:val="nil"/>
              <w:bottom w:val="single" w:sz="4" w:space="0" w:color="auto"/>
              <w:right w:val="nil"/>
            </w:tcBorders>
            <w:shd w:val="clear" w:color="auto" w:fill="auto"/>
            <w:noWrap/>
            <w:vAlign w:val="center"/>
          </w:tcPr>
          <w:p w:rsidR="00FF7BAF" w:rsidRPr="007F32A3" w:rsidRDefault="00FF7BAF" w:rsidP="001F018A">
            <w:pPr>
              <w:widowControl/>
              <w:snapToGrid w:val="0"/>
              <w:jc w:val="right"/>
              <w:rPr>
                <w:rFonts w:ascii="Times New Roman" w:eastAsia="新細明體" w:hAnsi="Times New Roman" w:cs="Times New Roman"/>
                <w:kern w:val="0"/>
                <w:sz w:val="22"/>
              </w:rPr>
            </w:pPr>
          </w:p>
        </w:tc>
        <w:tc>
          <w:tcPr>
            <w:tcW w:w="431" w:type="pct"/>
            <w:vMerge/>
            <w:tcBorders>
              <w:left w:val="nil"/>
              <w:bottom w:val="single" w:sz="4" w:space="0" w:color="auto"/>
              <w:right w:val="nil"/>
            </w:tcBorders>
            <w:shd w:val="clear" w:color="auto" w:fill="auto"/>
            <w:noWrap/>
            <w:vAlign w:val="center"/>
          </w:tcPr>
          <w:p w:rsidR="00FF7BAF" w:rsidRPr="007F32A3" w:rsidRDefault="00FF7BAF" w:rsidP="001F018A">
            <w:pPr>
              <w:widowControl/>
              <w:snapToGrid w:val="0"/>
              <w:jc w:val="center"/>
              <w:rPr>
                <w:rFonts w:ascii="Times New Roman" w:eastAsia="新細明體" w:hAnsi="Times New Roman" w:cs="Times New Roman"/>
                <w:kern w:val="0"/>
                <w:sz w:val="22"/>
              </w:rPr>
            </w:pPr>
          </w:p>
        </w:tc>
        <w:tc>
          <w:tcPr>
            <w:tcW w:w="429" w:type="pct"/>
            <w:tcBorders>
              <w:top w:val="single" w:sz="4" w:space="0" w:color="auto"/>
              <w:left w:val="nil"/>
              <w:bottom w:val="single" w:sz="4" w:space="0" w:color="auto"/>
              <w:right w:val="nil"/>
            </w:tcBorders>
            <w:shd w:val="clear" w:color="auto" w:fill="auto"/>
            <w:noWrap/>
            <w:vAlign w:val="center"/>
          </w:tcPr>
          <w:p w:rsidR="00FF7BAF" w:rsidRPr="007F32A3" w:rsidRDefault="00FF7BAF" w:rsidP="00FF7BAF">
            <w:pPr>
              <w:widowControl/>
              <w:snapToGrid w:val="0"/>
              <w:ind w:leftChars="-15" w:left="-36" w:rightChars="-15" w:right="-36"/>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KAM1</w:t>
            </w:r>
          </w:p>
        </w:tc>
        <w:tc>
          <w:tcPr>
            <w:tcW w:w="430" w:type="pct"/>
            <w:tcBorders>
              <w:top w:val="single" w:sz="4" w:space="0" w:color="auto"/>
              <w:left w:val="nil"/>
              <w:bottom w:val="single" w:sz="4" w:space="0" w:color="auto"/>
              <w:right w:val="nil"/>
            </w:tcBorders>
            <w:shd w:val="clear" w:color="auto" w:fill="auto"/>
            <w:noWrap/>
            <w:vAlign w:val="center"/>
          </w:tcPr>
          <w:p w:rsidR="00FF7BAF" w:rsidRPr="007F32A3" w:rsidRDefault="00FF7BAF" w:rsidP="00FF7BAF">
            <w:pPr>
              <w:widowControl/>
              <w:snapToGrid w:val="0"/>
              <w:ind w:leftChars="-15" w:left="-36" w:rightChars="-15" w:right="-36"/>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KAM2</w:t>
            </w:r>
          </w:p>
        </w:tc>
        <w:tc>
          <w:tcPr>
            <w:tcW w:w="395" w:type="pct"/>
            <w:gridSpan w:val="2"/>
            <w:tcBorders>
              <w:top w:val="single" w:sz="4" w:space="0" w:color="auto"/>
              <w:left w:val="nil"/>
              <w:bottom w:val="single" w:sz="4" w:space="0" w:color="auto"/>
              <w:right w:val="nil"/>
            </w:tcBorders>
            <w:shd w:val="clear" w:color="auto" w:fill="auto"/>
            <w:noWrap/>
            <w:vAlign w:val="center"/>
          </w:tcPr>
          <w:p w:rsidR="00FF7BAF" w:rsidRPr="007F32A3" w:rsidRDefault="00FF7BAF" w:rsidP="00FF7BAF">
            <w:pPr>
              <w:widowControl/>
              <w:snapToGrid w:val="0"/>
              <w:ind w:leftChars="-15" w:left="-36" w:rightChars="-15" w:right="-36"/>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KAM3</w:t>
            </w:r>
          </w:p>
        </w:tc>
        <w:tc>
          <w:tcPr>
            <w:tcW w:w="380" w:type="pct"/>
            <w:gridSpan w:val="4"/>
            <w:tcBorders>
              <w:top w:val="single" w:sz="4" w:space="0" w:color="auto"/>
              <w:left w:val="nil"/>
              <w:bottom w:val="single" w:sz="4" w:space="0" w:color="auto"/>
              <w:right w:val="nil"/>
            </w:tcBorders>
            <w:shd w:val="clear" w:color="auto" w:fill="auto"/>
            <w:noWrap/>
            <w:vAlign w:val="center"/>
          </w:tcPr>
          <w:p w:rsidR="00FF7BAF" w:rsidRPr="007F32A3" w:rsidRDefault="00FF7BAF" w:rsidP="00FF7BAF">
            <w:pPr>
              <w:widowControl/>
              <w:snapToGrid w:val="0"/>
              <w:ind w:leftChars="-15" w:left="-36" w:rightChars="-15" w:right="-36"/>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KAM4</w:t>
            </w:r>
          </w:p>
        </w:tc>
        <w:tc>
          <w:tcPr>
            <w:tcW w:w="430" w:type="pct"/>
            <w:gridSpan w:val="2"/>
            <w:tcBorders>
              <w:top w:val="single" w:sz="4" w:space="0" w:color="auto"/>
              <w:left w:val="nil"/>
              <w:bottom w:val="single" w:sz="4" w:space="0" w:color="auto"/>
              <w:right w:val="nil"/>
            </w:tcBorders>
            <w:shd w:val="clear" w:color="auto" w:fill="auto"/>
            <w:noWrap/>
            <w:vAlign w:val="center"/>
          </w:tcPr>
          <w:p w:rsidR="00FF7BAF" w:rsidRPr="007F32A3" w:rsidRDefault="00FF7BAF" w:rsidP="00FF7BAF">
            <w:pPr>
              <w:widowControl/>
              <w:snapToGrid w:val="0"/>
              <w:ind w:leftChars="-15" w:left="-36" w:rightChars="-15" w:right="-36"/>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KAM5</w:t>
            </w:r>
          </w:p>
        </w:tc>
        <w:tc>
          <w:tcPr>
            <w:tcW w:w="432" w:type="pct"/>
            <w:gridSpan w:val="2"/>
            <w:tcBorders>
              <w:top w:val="single" w:sz="4" w:space="0" w:color="auto"/>
              <w:left w:val="nil"/>
              <w:bottom w:val="single" w:sz="4" w:space="0" w:color="auto"/>
            </w:tcBorders>
            <w:shd w:val="clear" w:color="auto" w:fill="auto"/>
            <w:noWrap/>
            <w:vAlign w:val="center"/>
          </w:tcPr>
          <w:p w:rsidR="00FF7BAF" w:rsidRPr="007F32A3" w:rsidRDefault="00FF7BAF" w:rsidP="00FF7BAF">
            <w:pPr>
              <w:widowControl/>
              <w:snapToGrid w:val="0"/>
              <w:ind w:leftChars="-15" w:left="-36" w:rightChars="-15" w:right="-36"/>
              <w:jc w:val="center"/>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KAM6</w:t>
            </w:r>
          </w:p>
        </w:tc>
        <w:tc>
          <w:tcPr>
            <w:tcW w:w="520" w:type="pct"/>
            <w:gridSpan w:val="2"/>
            <w:vMerge/>
            <w:tcBorders>
              <w:bottom w:val="single" w:sz="4" w:space="0" w:color="auto"/>
              <w:right w:val="nil"/>
            </w:tcBorders>
            <w:shd w:val="clear" w:color="auto" w:fill="auto"/>
            <w:noWrap/>
            <w:vAlign w:val="center"/>
            <w:hideMark/>
          </w:tcPr>
          <w:p w:rsidR="00FF7BAF" w:rsidRPr="007F32A3" w:rsidRDefault="00FF7BAF" w:rsidP="001F018A">
            <w:pPr>
              <w:widowControl/>
              <w:snapToGrid w:val="0"/>
              <w:jc w:val="right"/>
              <w:rPr>
                <w:rFonts w:ascii="Times New Roman" w:eastAsia="新細明體" w:hAnsi="Times New Roman" w:cs="Times New Roman"/>
                <w:kern w:val="0"/>
                <w:sz w:val="22"/>
              </w:rPr>
            </w:pP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63A21" w:rsidRPr="007F32A3" w:rsidRDefault="00563A21" w:rsidP="00563A21">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Cement</w:t>
            </w:r>
          </w:p>
        </w:tc>
        <w:tc>
          <w:tcPr>
            <w:tcW w:w="602" w:type="pct"/>
            <w:tcBorders>
              <w:top w:val="nil"/>
              <w:left w:val="nil"/>
              <w:bottom w:val="nil"/>
              <w:right w:val="nil"/>
            </w:tcBorders>
            <w:shd w:val="clear" w:color="auto" w:fill="auto"/>
            <w:noWrap/>
            <w:vAlign w:val="center"/>
            <w:hideMark/>
          </w:tcPr>
          <w:p w:rsidR="00563A21" w:rsidRPr="007F32A3" w:rsidRDefault="00563A21" w:rsidP="00563A21">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7</w:t>
            </w:r>
          </w:p>
        </w:tc>
        <w:tc>
          <w:tcPr>
            <w:tcW w:w="431" w:type="pct"/>
            <w:tcBorders>
              <w:top w:val="nil"/>
              <w:left w:val="nil"/>
              <w:bottom w:val="nil"/>
              <w:right w:val="nil"/>
            </w:tcBorders>
            <w:shd w:val="clear" w:color="auto" w:fill="auto"/>
            <w:noWrap/>
            <w:vAlign w:val="center"/>
            <w:hideMark/>
          </w:tcPr>
          <w:p w:rsidR="00563A21" w:rsidRPr="007F32A3" w:rsidRDefault="00563A21" w:rsidP="00563A21">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0.45</w:t>
            </w:r>
          </w:p>
        </w:tc>
        <w:tc>
          <w:tcPr>
            <w:tcW w:w="429" w:type="pct"/>
            <w:tcBorders>
              <w:top w:val="nil"/>
              <w:left w:val="nil"/>
              <w:bottom w:val="nil"/>
              <w:right w:val="nil"/>
            </w:tcBorders>
            <w:shd w:val="clear" w:color="auto" w:fill="auto"/>
            <w:noWrap/>
            <w:vAlign w:val="bottom"/>
            <w:hideMark/>
          </w:tcPr>
          <w:p w:rsidR="00563A21" w:rsidRPr="007F32A3" w:rsidRDefault="00563A21" w:rsidP="00563A21">
            <w:pPr>
              <w:widowControl/>
              <w:jc w:val="right"/>
              <w:rPr>
                <w:rFonts w:ascii="Times New Roman" w:hAnsi="Times New Roman" w:cs="Times New Roman"/>
              </w:rPr>
            </w:pPr>
            <w:r w:rsidRPr="007F32A3">
              <w:rPr>
                <w:rFonts w:ascii="Times New Roman" w:hAnsi="Times New Roman" w:cs="Times New Roman"/>
              </w:rPr>
              <w:t xml:space="preserve">0.57 </w:t>
            </w:r>
          </w:p>
        </w:tc>
        <w:tc>
          <w:tcPr>
            <w:tcW w:w="430"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0.29 </w:t>
            </w:r>
          </w:p>
        </w:tc>
        <w:tc>
          <w:tcPr>
            <w:tcW w:w="395"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1.00 </w:t>
            </w:r>
          </w:p>
        </w:tc>
        <w:tc>
          <w:tcPr>
            <w:tcW w:w="380" w:type="pct"/>
            <w:gridSpan w:val="4"/>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0.86 </w:t>
            </w:r>
          </w:p>
        </w:tc>
        <w:tc>
          <w:tcPr>
            <w:tcW w:w="430"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0.57 </w:t>
            </w:r>
          </w:p>
        </w:tc>
        <w:tc>
          <w:tcPr>
            <w:tcW w:w="432"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0.71 </w:t>
            </w:r>
          </w:p>
        </w:tc>
        <w:tc>
          <w:tcPr>
            <w:tcW w:w="520" w:type="pct"/>
            <w:gridSpan w:val="2"/>
            <w:tcBorders>
              <w:top w:val="nil"/>
              <w:left w:val="nil"/>
              <w:bottom w:val="nil"/>
              <w:right w:val="nil"/>
            </w:tcBorders>
            <w:shd w:val="clear" w:color="auto" w:fill="auto"/>
            <w:noWrap/>
            <w:vAlign w:val="center"/>
            <w:hideMark/>
          </w:tcPr>
          <w:p w:rsidR="00563A21" w:rsidRPr="007F32A3" w:rsidRDefault="00563A21" w:rsidP="00AD7DF9">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4.00</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63A21" w:rsidRPr="007F32A3" w:rsidRDefault="00563A21" w:rsidP="00563A21">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Foods</w:t>
            </w:r>
          </w:p>
        </w:tc>
        <w:tc>
          <w:tcPr>
            <w:tcW w:w="602" w:type="pct"/>
            <w:tcBorders>
              <w:top w:val="nil"/>
              <w:left w:val="nil"/>
              <w:bottom w:val="nil"/>
              <w:right w:val="nil"/>
            </w:tcBorders>
            <w:shd w:val="clear" w:color="auto" w:fill="auto"/>
            <w:noWrap/>
            <w:vAlign w:val="center"/>
            <w:hideMark/>
          </w:tcPr>
          <w:p w:rsidR="00563A21" w:rsidRPr="007F32A3" w:rsidRDefault="00563A21" w:rsidP="00563A21">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28</w:t>
            </w:r>
          </w:p>
        </w:tc>
        <w:tc>
          <w:tcPr>
            <w:tcW w:w="431" w:type="pct"/>
            <w:tcBorders>
              <w:top w:val="nil"/>
              <w:left w:val="nil"/>
              <w:bottom w:val="nil"/>
              <w:right w:val="nil"/>
            </w:tcBorders>
            <w:shd w:val="clear" w:color="auto" w:fill="auto"/>
            <w:noWrap/>
            <w:vAlign w:val="center"/>
            <w:hideMark/>
          </w:tcPr>
          <w:p w:rsidR="00563A21" w:rsidRPr="007F32A3" w:rsidRDefault="00563A21" w:rsidP="00563A21">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1.80</w:t>
            </w:r>
          </w:p>
        </w:tc>
        <w:tc>
          <w:tcPr>
            <w:tcW w:w="429"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0.43 </w:t>
            </w:r>
          </w:p>
        </w:tc>
        <w:tc>
          <w:tcPr>
            <w:tcW w:w="430"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0.46 </w:t>
            </w:r>
          </w:p>
        </w:tc>
        <w:tc>
          <w:tcPr>
            <w:tcW w:w="395"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0.93 </w:t>
            </w:r>
          </w:p>
        </w:tc>
        <w:tc>
          <w:tcPr>
            <w:tcW w:w="380" w:type="pct"/>
            <w:gridSpan w:val="4"/>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0.96 </w:t>
            </w:r>
          </w:p>
        </w:tc>
        <w:tc>
          <w:tcPr>
            <w:tcW w:w="430"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0.50 </w:t>
            </w:r>
          </w:p>
        </w:tc>
        <w:tc>
          <w:tcPr>
            <w:tcW w:w="432"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0.29 </w:t>
            </w:r>
          </w:p>
        </w:tc>
        <w:tc>
          <w:tcPr>
            <w:tcW w:w="520" w:type="pct"/>
            <w:gridSpan w:val="2"/>
            <w:tcBorders>
              <w:top w:val="nil"/>
              <w:left w:val="nil"/>
              <w:bottom w:val="nil"/>
              <w:right w:val="nil"/>
            </w:tcBorders>
            <w:shd w:val="clear" w:color="auto" w:fill="auto"/>
            <w:noWrap/>
            <w:vAlign w:val="center"/>
            <w:hideMark/>
          </w:tcPr>
          <w:p w:rsidR="00563A21" w:rsidRPr="007F32A3" w:rsidRDefault="00563A21" w:rsidP="00AD7DF9">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3.57</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63A21" w:rsidRPr="007F32A3" w:rsidRDefault="00563A21" w:rsidP="00563A21">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Plastics</w:t>
            </w:r>
          </w:p>
        </w:tc>
        <w:tc>
          <w:tcPr>
            <w:tcW w:w="602" w:type="pct"/>
            <w:tcBorders>
              <w:top w:val="nil"/>
              <w:left w:val="nil"/>
              <w:bottom w:val="nil"/>
              <w:right w:val="nil"/>
            </w:tcBorders>
            <w:shd w:val="clear" w:color="auto" w:fill="auto"/>
            <w:noWrap/>
            <w:vAlign w:val="center"/>
            <w:hideMark/>
          </w:tcPr>
          <w:p w:rsidR="00563A21" w:rsidRPr="007F32A3" w:rsidRDefault="00563A21" w:rsidP="00563A21">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27</w:t>
            </w:r>
          </w:p>
        </w:tc>
        <w:tc>
          <w:tcPr>
            <w:tcW w:w="431" w:type="pct"/>
            <w:tcBorders>
              <w:top w:val="nil"/>
              <w:left w:val="nil"/>
              <w:bottom w:val="nil"/>
              <w:right w:val="nil"/>
            </w:tcBorders>
            <w:shd w:val="clear" w:color="auto" w:fill="auto"/>
            <w:noWrap/>
            <w:vAlign w:val="center"/>
            <w:hideMark/>
          </w:tcPr>
          <w:p w:rsidR="00563A21" w:rsidRPr="007F32A3" w:rsidRDefault="00563A21" w:rsidP="00563A21">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1.73</w:t>
            </w:r>
          </w:p>
        </w:tc>
        <w:tc>
          <w:tcPr>
            <w:tcW w:w="429"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0.15 </w:t>
            </w:r>
          </w:p>
        </w:tc>
        <w:tc>
          <w:tcPr>
            <w:tcW w:w="430"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0.26 </w:t>
            </w:r>
          </w:p>
        </w:tc>
        <w:tc>
          <w:tcPr>
            <w:tcW w:w="395"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0.85 </w:t>
            </w:r>
          </w:p>
        </w:tc>
        <w:tc>
          <w:tcPr>
            <w:tcW w:w="380" w:type="pct"/>
            <w:gridSpan w:val="4"/>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0.96 </w:t>
            </w:r>
          </w:p>
        </w:tc>
        <w:tc>
          <w:tcPr>
            <w:tcW w:w="430"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0.44 </w:t>
            </w:r>
          </w:p>
        </w:tc>
        <w:tc>
          <w:tcPr>
            <w:tcW w:w="432"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0.48 </w:t>
            </w:r>
          </w:p>
        </w:tc>
        <w:tc>
          <w:tcPr>
            <w:tcW w:w="520" w:type="pct"/>
            <w:gridSpan w:val="2"/>
            <w:tcBorders>
              <w:top w:val="nil"/>
              <w:left w:val="nil"/>
              <w:bottom w:val="nil"/>
              <w:right w:val="nil"/>
            </w:tcBorders>
            <w:shd w:val="clear" w:color="auto" w:fill="auto"/>
            <w:noWrap/>
            <w:vAlign w:val="center"/>
            <w:hideMark/>
          </w:tcPr>
          <w:p w:rsidR="00563A21" w:rsidRPr="007F32A3" w:rsidRDefault="00563A21" w:rsidP="00AD7DF9">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3.15</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63A21" w:rsidRPr="007F32A3" w:rsidRDefault="00563A21" w:rsidP="00563A21">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Textiles</w:t>
            </w:r>
          </w:p>
        </w:tc>
        <w:tc>
          <w:tcPr>
            <w:tcW w:w="602" w:type="pct"/>
            <w:tcBorders>
              <w:top w:val="nil"/>
              <w:left w:val="nil"/>
              <w:bottom w:val="nil"/>
              <w:right w:val="nil"/>
            </w:tcBorders>
            <w:shd w:val="clear" w:color="auto" w:fill="auto"/>
            <w:noWrap/>
            <w:vAlign w:val="center"/>
            <w:hideMark/>
          </w:tcPr>
          <w:p w:rsidR="00563A21" w:rsidRPr="007F32A3" w:rsidRDefault="00563A21" w:rsidP="00563A21">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55</w:t>
            </w:r>
          </w:p>
        </w:tc>
        <w:tc>
          <w:tcPr>
            <w:tcW w:w="431" w:type="pct"/>
            <w:tcBorders>
              <w:top w:val="nil"/>
              <w:left w:val="nil"/>
              <w:bottom w:val="nil"/>
              <w:right w:val="nil"/>
            </w:tcBorders>
            <w:shd w:val="clear" w:color="auto" w:fill="auto"/>
            <w:noWrap/>
            <w:vAlign w:val="center"/>
            <w:hideMark/>
          </w:tcPr>
          <w:p w:rsidR="00563A21" w:rsidRPr="007F32A3" w:rsidRDefault="00563A21" w:rsidP="00563A21">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3.53</w:t>
            </w:r>
          </w:p>
        </w:tc>
        <w:tc>
          <w:tcPr>
            <w:tcW w:w="429"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0.24 </w:t>
            </w:r>
          </w:p>
        </w:tc>
        <w:tc>
          <w:tcPr>
            <w:tcW w:w="430"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0.20 </w:t>
            </w:r>
          </w:p>
        </w:tc>
        <w:tc>
          <w:tcPr>
            <w:tcW w:w="395"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0.89 </w:t>
            </w:r>
          </w:p>
        </w:tc>
        <w:tc>
          <w:tcPr>
            <w:tcW w:w="380" w:type="pct"/>
            <w:gridSpan w:val="4"/>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0.87 </w:t>
            </w:r>
          </w:p>
        </w:tc>
        <w:tc>
          <w:tcPr>
            <w:tcW w:w="430"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0.60 </w:t>
            </w:r>
          </w:p>
        </w:tc>
        <w:tc>
          <w:tcPr>
            <w:tcW w:w="432"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rPr>
            </w:pPr>
            <w:r w:rsidRPr="007F32A3">
              <w:rPr>
                <w:rFonts w:ascii="Times New Roman" w:hAnsi="Times New Roman" w:cs="Times New Roman"/>
              </w:rPr>
              <w:t xml:space="preserve">0.40 </w:t>
            </w:r>
          </w:p>
        </w:tc>
        <w:tc>
          <w:tcPr>
            <w:tcW w:w="520" w:type="pct"/>
            <w:gridSpan w:val="2"/>
            <w:tcBorders>
              <w:top w:val="nil"/>
              <w:left w:val="nil"/>
              <w:bottom w:val="nil"/>
              <w:right w:val="nil"/>
            </w:tcBorders>
            <w:shd w:val="clear" w:color="auto" w:fill="auto"/>
            <w:noWrap/>
            <w:vAlign w:val="center"/>
            <w:hideMark/>
          </w:tcPr>
          <w:p w:rsidR="00563A21" w:rsidRPr="007F32A3" w:rsidRDefault="00563A21" w:rsidP="00AD7DF9">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3.20</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63A21" w:rsidRPr="007F32A3" w:rsidRDefault="00563A21" w:rsidP="00563A21">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Mechanical electronics</w:t>
            </w:r>
          </w:p>
        </w:tc>
        <w:tc>
          <w:tcPr>
            <w:tcW w:w="602" w:type="pct"/>
            <w:tcBorders>
              <w:top w:val="nil"/>
              <w:left w:val="nil"/>
              <w:bottom w:val="nil"/>
              <w:right w:val="nil"/>
            </w:tcBorders>
            <w:shd w:val="clear" w:color="auto" w:fill="auto"/>
            <w:noWrap/>
            <w:vAlign w:val="center"/>
            <w:hideMark/>
          </w:tcPr>
          <w:p w:rsidR="00563A21" w:rsidRPr="007F32A3" w:rsidRDefault="00563A21" w:rsidP="00563A21">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93</w:t>
            </w:r>
          </w:p>
        </w:tc>
        <w:tc>
          <w:tcPr>
            <w:tcW w:w="431" w:type="pct"/>
            <w:tcBorders>
              <w:top w:val="nil"/>
              <w:left w:val="nil"/>
              <w:bottom w:val="nil"/>
              <w:right w:val="nil"/>
            </w:tcBorders>
            <w:shd w:val="clear" w:color="auto" w:fill="auto"/>
            <w:noWrap/>
            <w:vAlign w:val="center"/>
            <w:hideMark/>
          </w:tcPr>
          <w:p w:rsidR="00563A21" w:rsidRPr="007F32A3" w:rsidRDefault="00563A21" w:rsidP="00563A21">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5.97</w:t>
            </w:r>
          </w:p>
        </w:tc>
        <w:tc>
          <w:tcPr>
            <w:tcW w:w="429"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0.37 </w:t>
            </w:r>
          </w:p>
        </w:tc>
        <w:tc>
          <w:tcPr>
            <w:tcW w:w="430"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0.40 </w:t>
            </w:r>
          </w:p>
        </w:tc>
        <w:tc>
          <w:tcPr>
            <w:tcW w:w="395"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0.89 </w:t>
            </w:r>
          </w:p>
        </w:tc>
        <w:tc>
          <w:tcPr>
            <w:tcW w:w="380" w:type="pct"/>
            <w:gridSpan w:val="4"/>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0.90 </w:t>
            </w:r>
          </w:p>
        </w:tc>
        <w:tc>
          <w:tcPr>
            <w:tcW w:w="430"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0.43 </w:t>
            </w:r>
          </w:p>
        </w:tc>
        <w:tc>
          <w:tcPr>
            <w:tcW w:w="432"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0.48 </w:t>
            </w:r>
          </w:p>
        </w:tc>
        <w:tc>
          <w:tcPr>
            <w:tcW w:w="520" w:type="pct"/>
            <w:gridSpan w:val="2"/>
            <w:tcBorders>
              <w:top w:val="nil"/>
              <w:left w:val="nil"/>
              <w:bottom w:val="nil"/>
              <w:right w:val="nil"/>
            </w:tcBorders>
            <w:shd w:val="clear" w:color="auto" w:fill="auto"/>
            <w:noWrap/>
            <w:vAlign w:val="center"/>
            <w:hideMark/>
          </w:tcPr>
          <w:p w:rsidR="00563A21" w:rsidRPr="007F32A3" w:rsidRDefault="00563A21" w:rsidP="00AD7DF9">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3.47</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63A21" w:rsidRPr="007F32A3" w:rsidRDefault="00563A21" w:rsidP="00563A21">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Wire</w:t>
            </w:r>
          </w:p>
        </w:tc>
        <w:tc>
          <w:tcPr>
            <w:tcW w:w="602" w:type="pct"/>
            <w:tcBorders>
              <w:top w:val="nil"/>
              <w:left w:val="nil"/>
              <w:bottom w:val="nil"/>
              <w:right w:val="nil"/>
            </w:tcBorders>
            <w:shd w:val="clear" w:color="auto" w:fill="auto"/>
            <w:noWrap/>
            <w:vAlign w:val="center"/>
            <w:hideMark/>
          </w:tcPr>
          <w:p w:rsidR="00563A21" w:rsidRPr="007F32A3" w:rsidRDefault="00563A21" w:rsidP="00563A21">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16</w:t>
            </w:r>
          </w:p>
        </w:tc>
        <w:tc>
          <w:tcPr>
            <w:tcW w:w="431" w:type="pct"/>
            <w:tcBorders>
              <w:top w:val="nil"/>
              <w:left w:val="nil"/>
              <w:bottom w:val="nil"/>
              <w:right w:val="nil"/>
            </w:tcBorders>
            <w:shd w:val="clear" w:color="auto" w:fill="auto"/>
            <w:noWrap/>
            <w:vAlign w:val="center"/>
            <w:hideMark/>
          </w:tcPr>
          <w:p w:rsidR="00563A21" w:rsidRPr="007F32A3" w:rsidRDefault="00563A21" w:rsidP="00563A21">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1.03</w:t>
            </w:r>
          </w:p>
        </w:tc>
        <w:tc>
          <w:tcPr>
            <w:tcW w:w="429"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0.38 </w:t>
            </w:r>
          </w:p>
        </w:tc>
        <w:tc>
          <w:tcPr>
            <w:tcW w:w="430" w:type="pct"/>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0.31 </w:t>
            </w:r>
          </w:p>
        </w:tc>
        <w:tc>
          <w:tcPr>
            <w:tcW w:w="395"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0.88 </w:t>
            </w:r>
          </w:p>
        </w:tc>
        <w:tc>
          <w:tcPr>
            <w:tcW w:w="380" w:type="pct"/>
            <w:gridSpan w:val="4"/>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1.00 </w:t>
            </w:r>
          </w:p>
        </w:tc>
        <w:tc>
          <w:tcPr>
            <w:tcW w:w="430"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0.31 </w:t>
            </w:r>
          </w:p>
        </w:tc>
        <w:tc>
          <w:tcPr>
            <w:tcW w:w="432" w:type="pct"/>
            <w:gridSpan w:val="2"/>
            <w:tcBorders>
              <w:top w:val="nil"/>
              <w:left w:val="nil"/>
              <w:bottom w:val="nil"/>
              <w:right w:val="nil"/>
            </w:tcBorders>
            <w:shd w:val="clear" w:color="auto" w:fill="auto"/>
            <w:noWrap/>
            <w:vAlign w:val="bottom"/>
            <w:hideMark/>
          </w:tcPr>
          <w:p w:rsidR="00563A21" w:rsidRPr="007F32A3" w:rsidRDefault="00563A21" w:rsidP="00563A21">
            <w:pPr>
              <w:jc w:val="right"/>
              <w:rPr>
                <w:rFonts w:ascii="Times New Roman" w:hAnsi="Times New Roman" w:cs="Times New Roman"/>
                <w:sz w:val="22"/>
              </w:rPr>
            </w:pPr>
            <w:r w:rsidRPr="007F32A3">
              <w:rPr>
                <w:rFonts w:ascii="Times New Roman" w:hAnsi="Times New Roman" w:cs="Times New Roman"/>
                <w:sz w:val="22"/>
              </w:rPr>
              <w:t xml:space="preserve">0.13 </w:t>
            </w:r>
          </w:p>
        </w:tc>
        <w:tc>
          <w:tcPr>
            <w:tcW w:w="520" w:type="pct"/>
            <w:gridSpan w:val="2"/>
            <w:tcBorders>
              <w:top w:val="nil"/>
              <w:left w:val="nil"/>
              <w:bottom w:val="nil"/>
              <w:right w:val="nil"/>
            </w:tcBorders>
            <w:shd w:val="clear" w:color="auto" w:fill="auto"/>
            <w:noWrap/>
            <w:vAlign w:val="center"/>
            <w:hideMark/>
          </w:tcPr>
          <w:p w:rsidR="00563A21" w:rsidRPr="007F32A3" w:rsidRDefault="00563A21" w:rsidP="00AD7DF9">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3.00</w:t>
            </w:r>
          </w:p>
        </w:tc>
      </w:tr>
      <w:tr w:rsidR="007F32A3" w:rsidRPr="007F32A3" w:rsidTr="00F47F60">
        <w:trPr>
          <w:gridAfter w:val="1"/>
          <w:wAfter w:w="5" w:type="pct"/>
          <w:trHeight w:val="330"/>
        </w:trPr>
        <w:tc>
          <w:tcPr>
            <w:tcW w:w="946" w:type="pct"/>
            <w:tcBorders>
              <w:top w:val="nil"/>
              <w:left w:val="nil"/>
              <w:bottom w:val="nil"/>
              <w:right w:val="nil"/>
            </w:tcBorders>
            <w:shd w:val="clear" w:color="auto" w:fill="auto"/>
            <w:noWrap/>
            <w:vAlign w:val="center"/>
          </w:tcPr>
          <w:p w:rsidR="005014FD" w:rsidRPr="007F32A3" w:rsidRDefault="005014FD" w:rsidP="005014FD">
            <w:pPr>
              <w:widowControl/>
              <w:snapToGrid w:val="0"/>
              <w:rPr>
                <w:rFonts w:ascii="Times New Roman" w:eastAsia="標楷體" w:hAnsi="Times New Roman" w:cs="Times New Roman"/>
                <w:kern w:val="0"/>
                <w:szCs w:val="24"/>
              </w:rPr>
            </w:pPr>
            <w:r w:rsidRPr="007F32A3">
              <w:rPr>
                <w:rFonts w:ascii="Times New Roman" w:eastAsia="標楷體" w:hAnsi="Times New Roman" w:cs="Times New Roman"/>
                <w:kern w:val="0"/>
                <w:szCs w:val="24"/>
              </w:rPr>
              <w:t>Chemical &amp; Biotechnology</w:t>
            </w:r>
          </w:p>
        </w:tc>
        <w:tc>
          <w:tcPr>
            <w:tcW w:w="602" w:type="pct"/>
            <w:tcBorders>
              <w:top w:val="nil"/>
              <w:left w:val="nil"/>
              <w:bottom w:val="nil"/>
              <w:right w:val="nil"/>
            </w:tcBorders>
            <w:shd w:val="clear" w:color="auto" w:fill="auto"/>
            <w:noWrap/>
            <w:vAlign w:val="center"/>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145</w:t>
            </w:r>
          </w:p>
        </w:tc>
        <w:tc>
          <w:tcPr>
            <w:tcW w:w="431" w:type="pct"/>
            <w:tcBorders>
              <w:top w:val="nil"/>
              <w:left w:val="nil"/>
              <w:bottom w:val="nil"/>
              <w:right w:val="nil"/>
            </w:tcBorders>
            <w:shd w:val="clear" w:color="auto" w:fill="auto"/>
            <w:noWrap/>
            <w:vAlign w:val="center"/>
          </w:tcPr>
          <w:p w:rsidR="005014FD" w:rsidRPr="007F32A3" w:rsidRDefault="005014FD" w:rsidP="005014FD">
            <w:pPr>
              <w:widowControl/>
              <w:jc w:val="right"/>
              <w:rPr>
                <w:rFonts w:ascii="Times New Roman" w:hAnsi="Times New Roman" w:cs="Times New Roman"/>
                <w:sz w:val="22"/>
              </w:rPr>
            </w:pPr>
            <w:r w:rsidRPr="007F32A3">
              <w:rPr>
                <w:rFonts w:ascii="Times New Roman" w:hAnsi="Times New Roman" w:cs="Times New Roman"/>
                <w:sz w:val="22"/>
              </w:rPr>
              <w:t xml:space="preserve">0.06 </w:t>
            </w:r>
          </w:p>
        </w:tc>
        <w:tc>
          <w:tcPr>
            <w:tcW w:w="429" w:type="pct"/>
            <w:tcBorders>
              <w:top w:val="nil"/>
              <w:left w:val="nil"/>
              <w:bottom w:val="nil"/>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0.41 </w:t>
            </w:r>
          </w:p>
        </w:tc>
        <w:tc>
          <w:tcPr>
            <w:tcW w:w="430" w:type="pct"/>
            <w:tcBorders>
              <w:top w:val="nil"/>
              <w:left w:val="nil"/>
              <w:bottom w:val="nil"/>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0.31 </w:t>
            </w:r>
          </w:p>
        </w:tc>
        <w:tc>
          <w:tcPr>
            <w:tcW w:w="395" w:type="pct"/>
            <w:gridSpan w:val="2"/>
            <w:tcBorders>
              <w:top w:val="nil"/>
              <w:left w:val="nil"/>
              <w:bottom w:val="nil"/>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0.92 </w:t>
            </w:r>
          </w:p>
        </w:tc>
        <w:tc>
          <w:tcPr>
            <w:tcW w:w="380" w:type="pct"/>
            <w:gridSpan w:val="4"/>
            <w:tcBorders>
              <w:top w:val="nil"/>
              <w:left w:val="nil"/>
              <w:bottom w:val="nil"/>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0.92 </w:t>
            </w:r>
          </w:p>
        </w:tc>
        <w:tc>
          <w:tcPr>
            <w:tcW w:w="430" w:type="pct"/>
            <w:gridSpan w:val="2"/>
            <w:tcBorders>
              <w:top w:val="nil"/>
              <w:left w:val="nil"/>
              <w:bottom w:val="nil"/>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0.48 </w:t>
            </w:r>
          </w:p>
        </w:tc>
        <w:tc>
          <w:tcPr>
            <w:tcW w:w="432" w:type="pct"/>
            <w:gridSpan w:val="2"/>
            <w:tcBorders>
              <w:top w:val="nil"/>
              <w:left w:val="nil"/>
              <w:bottom w:val="nil"/>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0.48 </w:t>
            </w:r>
          </w:p>
        </w:tc>
        <w:tc>
          <w:tcPr>
            <w:tcW w:w="520" w:type="pct"/>
            <w:gridSpan w:val="2"/>
            <w:tcBorders>
              <w:top w:val="nil"/>
              <w:left w:val="nil"/>
              <w:bottom w:val="nil"/>
              <w:right w:val="nil"/>
            </w:tcBorders>
            <w:shd w:val="clear" w:color="auto" w:fill="auto"/>
            <w:noWrap/>
            <w:vAlign w:val="center"/>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3.57</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標楷體" w:hAnsi="Times New Roman" w:cs="Times New Roman"/>
                <w:kern w:val="0"/>
                <w:sz w:val="22"/>
              </w:rPr>
              <w:t>Glass</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5</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0.32</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0.40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0.00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1.00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1.00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0.40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0.40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3.20</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Paper</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7</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0.45</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0.29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0.29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0.86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1.00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0.71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0.29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3.43</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Iron &amp; steel</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44</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2.82</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0.30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0.45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0.91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0.98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0.59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0.45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3.68</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標楷體" w:hAnsi="Times New Roman" w:cs="Times New Roman"/>
                <w:kern w:val="0"/>
                <w:sz w:val="22"/>
              </w:rPr>
              <w:t>Rubber</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13</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0.83</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0.38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0.62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0.77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0.85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0.69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0.54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3.85</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Automobile</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7</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0.45</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0.43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0.14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0.71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1.00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0.57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0.29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3.14</w:t>
            </w:r>
          </w:p>
        </w:tc>
      </w:tr>
      <w:tr w:rsidR="007F32A3" w:rsidRPr="007F32A3" w:rsidTr="00F47F60">
        <w:trPr>
          <w:gridAfter w:val="1"/>
          <w:wAfter w:w="5" w:type="pct"/>
          <w:trHeight w:val="330"/>
        </w:trPr>
        <w:tc>
          <w:tcPr>
            <w:tcW w:w="946" w:type="pct"/>
            <w:tcBorders>
              <w:top w:val="nil"/>
              <w:left w:val="nil"/>
              <w:bottom w:val="nil"/>
              <w:right w:val="nil"/>
            </w:tcBorders>
            <w:shd w:val="clear" w:color="auto" w:fill="auto"/>
            <w:noWrap/>
            <w:vAlign w:val="center"/>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標楷體" w:hAnsi="Times New Roman" w:cs="Times New Roman"/>
                <w:kern w:val="0"/>
                <w:szCs w:val="24"/>
              </w:rPr>
              <w:t>Electronics</w:t>
            </w:r>
          </w:p>
        </w:tc>
        <w:tc>
          <w:tcPr>
            <w:tcW w:w="602" w:type="pct"/>
            <w:tcBorders>
              <w:top w:val="nil"/>
              <w:left w:val="nil"/>
              <w:bottom w:val="nil"/>
              <w:right w:val="nil"/>
            </w:tcBorders>
            <w:shd w:val="clear" w:color="auto" w:fill="auto"/>
            <w:noWrap/>
            <w:vAlign w:val="center"/>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798</w:t>
            </w:r>
          </w:p>
        </w:tc>
        <w:tc>
          <w:tcPr>
            <w:tcW w:w="431" w:type="pct"/>
            <w:tcBorders>
              <w:top w:val="nil"/>
              <w:left w:val="nil"/>
              <w:bottom w:val="nil"/>
              <w:right w:val="nil"/>
            </w:tcBorders>
            <w:shd w:val="clear" w:color="auto" w:fill="auto"/>
            <w:noWrap/>
            <w:vAlign w:val="center"/>
          </w:tcPr>
          <w:p w:rsidR="005014FD" w:rsidRPr="007F32A3" w:rsidRDefault="005014FD" w:rsidP="005014FD">
            <w:pPr>
              <w:jc w:val="right"/>
              <w:rPr>
                <w:rFonts w:ascii="Times New Roman" w:eastAsia="標楷體" w:hAnsi="Times New Roman" w:cs="Times New Roman"/>
                <w:kern w:val="0"/>
                <w:sz w:val="22"/>
              </w:rPr>
            </w:pPr>
            <w:r w:rsidRPr="007F32A3">
              <w:rPr>
                <w:rFonts w:ascii="Times New Roman" w:eastAsia="標楷體" w:hAnsi="Times New Roman" w:cs="Times New Roman"/>
                <w:kern w:val="0"/>
                <w:sz w:val="22"/>
              </w:rPr>
              <w:t xml:space="preserve">0.35 </w:t>
            </w:r>
          </w:p>
        </w:tc>
        <w:tc>
          <w:tcPr>
            <w:tcW w:w="429" w:type="pct"/>
            <w:tcBorders>
              <w:top w:val="nil"/>
              <w:left w:val="nil"/>
              <w:bottom w:val="nil"/>
              <w:right w:val="nil"/>
            </w:tcBorders>
            <w:shd w:val="clear" w:color="auto" w:fill="auto"/>
            <w:noWrap/>
            <w:vAlign w:val="center"/>
          </w:tcPr>
          <w:p w:rsidR="005014FD" w:rsidRPr="007F32A3" w:rsidRDefault="005014FD" w:rsidP="005014FD">
            <w:pPr>
              <w:jc w:val="right"/>
              <w:rPr>
                <w:rFonts w:ascii="Times New Roman" w:eastAsia="標楷體" w:hAnsi="Times New Roman" w:cs="Times New Roman"/>
                <w:kern w:val="0"/>
                <w:sz w:val="22"/>
              </w:rPr>
            </w:pPr>
            <w:r w:rsidRPr="007F32A3">
              <w:rPr>
                <w:rFonts w:ascii="Times New Roman" w:eastAsia="標楷體" w:hAnsi="Times New Roman" w:cs="Times New Roman"/>
                <w:kern w:val="0"/>
                <w:sz w:val="22"/>
              </w:rPr>
              <w:t xml:space="preserve">0.33 </w:t>
            </w:r>
          </w:p>
        </w:tc>
        <w:tc>
          <w:tcPr>
            <w:tcW w:w="430" w:type="pct"/>
            <w:tcBorders>
              <w:top w:val="nil"/>
              <w:left w:val="nil"/>
              <w:bottom w:val="nil"/>
              <w:right w:val="nil"/>
            </w:tcBorders>
            <w:shd w:val="clear" w:color="auto" w:fill="auto"/>
            <w:noWrap/>
            <w:vAlign w:val="center"/>
          </w:tcPr>
          <w:p w:rsidR="005014FD" w:rsidRPr="007F32A3" w:rsidRDefault="005014FD" w:rsidP="005014FD">
            <w:pPr>
              <w:jc w:val="right"/>
              <w:rPr>
                <w:rFonts w:ascii="Times New Roman" w:eastAsia="標楷體" w:hAnsi="Times New Roman" w:cs="Times New Roman"/>
                <w:kern w:val="0"/>
                <w:sz w:val="22"/>
              </w:rPr>
            </w:pPr>
            <w:r w:rsidRPr="007F32A3">
              <w:rPr>
                <w:rFonts w:ascii="Times New Roman" w:eastAsia="標楷體" w:hAnsi="Times New Roman" w:cs="Times New Roman"/>
                <w:kern w:val="0"/>
                <w:sz w:val="22"/>
              </w:rPr>
              <w:t xml:space="preserve">0.90 </w:t>
            </w:r>
          </w:p>
        </w:tc>
        <w:tc>
          <w:tcPr>
            <w:tcW w:w="395" w:type="pct"/>
            <w:gridSpan w:val="2"/>
            <w:tcBorders>
              <w:top w:val="nil"/>
              <w:left w:val="nil"/>
              <w:bottom w:val="nil"/>
              <w:right w:val="nil"/>
            </w:tcBorders>
            <w:shd w:val="clear" w:color="auto" w:fill="auto"/>
            <w:noWrap/>
            <w:vAlign w:val="center"/>
          </w:tcPr>
          <w:p w:rsidR="005014FD" w:rsidRPr="007F32A3" w:rsidRDefault="005014FD" w:rsidP="005014FD">
            <w:pPr>
              <w:jc w:val="right"/>
              <w:rPr>
                <w:rFonts w:ascii="Times New Roman" w:eastAsia="標楷體" w:hAnsi="Times New Roman" w:cs="Times New Roman"/>
                <w:kern w:val="0"/>
                <w:sz w:val="22"/>
              </w:rPr>
            </w:pPr>
            <w:r w:rsidRPr="007F32A3">
              <w:rPr>
                <w:rFonts w:ascii="Times New Roman" w:eastAsia="標楷體" w:hAnsi="Times New Roman" w:cs="Times New Roman"/>
                <w:kern w:val="0"/>
                <w:sz w:val="22"/>
              </w:rPr>
              <w:t xml:space="preserve">0.93 </w:t>
            </w:r>
          </w:p>
        </w:tc>
        <w:tc>
          <w:tcPr>
            <w:tcW w:w="380" w:type="pct"/>
            <w:gridSpan w:val="4"/>
            <w:tcBorders>
              <w:top w:val="nil"/>
              <w:left w:val="nil"/>
              <w:bottom w:val="nil"/>
              <w:right w:val="nil"/>
            </w:tcBorders>
            <w:shd w:val="clear" w:color="auto" w:fill="auto"/>
            <w:noWrap/>
            <w:vAlign w:val="center"/>
          </w:tcPr>
          <w:p w:rsidR="005014FD" w:rsidRPr="007F32A3" w:rsidRDefault="005014FD" w:rsidP="005014FD">
            <w:pPr>
              <w:jc w:val="right"/>
              <w:rPr>
                <w:rFonts w:ascii="Times New Roman" w:eastAsia="標楷體" w:hAnsi="Times New Roman" w:cs="Times New Roman"/>
                <w:kern w:val="0"/>
                <w:sz w:val="22"/>
              </w:rPr>
            </w:pPr>
            <w:r w:rsidRPr="007F32A3">
              <w:rPr>
                <w:rFonts w:ascii="Times New Roman" w:eastAsia="標楷體" w:hAnsi="Times New Roman" w:cs="Times New Roman"/>
                <w:kern w:val="0"/>
                <w:sz w:val="22"/>
              </w:rPr>
              <w:t xml:space="preserve">0.34 </w:t>
            </w:r>
          </w:p>
        </w:tc>
        <w:tc>
          <w:tcPr>
            <w:tcW w:w="430" w:type="pct"/>
            <w:gridSpan w:val="2"/>
            <w:tcBorders>
              <w:top w:val="nil"/>
              <w:left w:val="nil"/>
              <w:bottom w:val="nil"/>
              <w:right w:val="nil"/>
            </w:tcBorders>
            <w:shd w:val="clear" w:color="auto" w:fill="auto"/>
            <w:noWrap/>
            <w:vAlign w:val="center"/>
          </w:tcPr>
          <w:p w:rsidR="005014FD" w:rsidRPr="007F32A3" w:rsidRDefault="005014FD" w:rsidP="005014FD">
            <w:pPr>
              <w:jc w:val="right"/>
              <w:rPr>
                <w:rFonts w:ascii="Times New Roman" w:eastAsia="標楷體" w:hAnsi="Times New Roman" w:cs="Times New Roman"/>
                <w:kern w:val="0"/>
                <w:sz w:val="22"/>
              </w:rPr>
            </w:pPr>
            <w:r w:rsidRPr="007F32A3">
              <w:rPr>
                <w:rFonts w:ascii="Times New Roman" w:eastAsia="標楷體" w:hAnsi="Times New Roman" w:cs="Times New Roman"/>
                <w:kern w:val="0"/>
                <w:sz w:val="22"/>
              </w:rPr>
              <w:t xml:space="preserve">0.34 </w:t>
            </w:r>
          </w:p>
        </w:tc>
        <w:tc>
          <w:tcPr>
            <w:tcW w:w="432" w:type="pct"/>
            <w:gridSpan w:val="2"/>
            <w:tcBorders>
              <w:top w:val="nil"/>
              <w:left w:val="nil"/>
              <w:bottom w:val="nil"/>
              <w:right w:val="nil"/>
            </w:tcBorders>
            <w:shd w:val="clear" w:color="auto" w:fill="auto"/>
            <w:noWrap/>
            <w:vAlign w:val="center"/>
          </w:tcPr>
          <w:p w:rsidR="005014FD" w:rsidRPr="007F32A3" w:rsidRDefault="005014FD" w:rsidP="005014FD">
            <w:pPr>
              <w:jc w:val="right"/>
              <w:rPr>
                <w:rFonts w:ascii="Times New Roman" w:eastAsia="標楷體" w:hAnsi="Times New Roman" w:cs="Times New Roman"/>
                <w:kern w:val="0"/>
                <w:sz w:val="22"/>
              </w:rPr>
            </w:pPr>
            <w:r w:rsidRPr="007F32A3">
              <w:rPr>
                <w:rFonts w:ascii="Times New Roman" w:eastAsia="標楷體" w:hAnsi="Times New Roman" w:cs="Times New Roman"/>
                <w:kern w:val="0"/>
                <w:sz w:val="22"/>
              </w:rPr>
              <w:t xml:space="preserve">3.36 </w:t>
            </w:r>
          </w:p>
        </w:tc>
        <w:tc>
          <w:tcPr>
            <w:tcW w:w="520" w:type="pct"/>
            <w:gridSpan w:val="2"/>
            <w:tcBorders>
              <w:top w:val="nil"/>
              <w:left w:val="nil"/>
              <w:bottom w:val="nil"/>
              <w:right w:val="nil"/>
            </w:tcBorders>
            <w:shd w:val="clear" w:color="auto" w:fill="auto"/>
            <w:noWrap/>
            <w:vAlign w:val="center"/>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0.06</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Construction </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73</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4.69</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0.47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0.37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0.89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0.99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0.60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0.26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3.58</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Transportation</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27</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1.73</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0.59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0.26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0.93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0.93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0.44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0.33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3.48</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Tourism</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36</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2.31</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0.50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0.56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0.89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0.89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0.64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0.33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3.81</w:t>
            </w:r>
          </w:p>
        </w:tc>
      </w:tr>
      <w:tr w:rsidR="007F32A3" w:rsidRPr="007F32A3" w:rsidTr="0020334E">
        <w:trPr>
          <w:gridAfter w:val="1"/>
          <w:wAfter w:w="5" w:type="pct"/>
          <w:trHeight w:val="330"/>
        </w:trPr>
        <w:tc>
          <w:tcPr>
            <w:tcW w:w="946"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left="220" w:hangingChars="100" w:hanging="22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Department</w:t>
            </w:r>
          </w:p>
          <w:p w:rsidR="005014FD" w:rsidRPr="007F32A3" w:rsidRDefault="005014FD" w:rsidP="005014FD">
            <w:pPr>
              <w:widowControl/>
              <w:snapToGrid w:val="0"/>
              <w:ind w:left="220" w:hangingChars="100" w:hanging="22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stores</w:t>
            </w:r>
          </w:p>
        </w:tc>
        <w:tc>
          <w:tcPr>
            <w:tcW w:w="602" w:type="pct"/>
            <w:tcBorders>
              <w:top w:val="nil"/>
              <w:left w:val="nil"/>
              <w:bottom w:val="nil"/>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31</w:t>
            </w:r>
          </w:p>
        </w:tc>
        <w:tc>
          <w:tcPr>
            <w:tcW w:w="431" w:type="pct"/>
            <w:tcBorders>
              <w:top w:val="nil"/>
              <w:left w:val="nil"/>
              <w:bottom w:val="nil"/>
              <w:right w:val="nil"/>
            </w:tcBorders>
            <w:shd w:val="clear" w:color="auto" w:fill="auto"/>
            <w:noWrap/>
            <w:vAlign w:val="center"/>
            <w:hideMark/>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1.99</w:t>
            </w:r>
          </w:p>
        </w:tc>
        <w:tc>
          <w:tcPr>
            <w:tcW w:w="429"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0.48 </w:t>
            </w:r>
          </w:p>
        </w:tc>
        <w:tc>
          <w:tcPr>
            <w:tcW w:w="430" w:type="pct"/>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0.52 </w:t>
            </w:r>
          </w:p>
        </w:tc>
        <w:tc>
          <w:tcPr>
            <w:tcW w:w="395"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0.90 </w:t>
            </w:r>
          </w:p>
        </w:tc>
        <w:tc>
          <w:tcPr>
            <w:tcW w:w="380" w:type="pct"/>
            <w:gridSpan w:val="4"/>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0.94 </w:t>
            </w:r>
          </w:p>
        </w:tc>
        <w:tc>
          <w:tcPr>
            <w:tcW w:w="430"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0.52 </w:t>
            </w:r>
          </w:p>
        </w:tc>
        <w:tc>
          <w:tcPr>
            <w:tcW w:w="432" w:type="pct"/>
            <w:gridSpan w:val="2"/>
            <w:tcBorders>
              <w:top w:val="nil"/>
              <w:left w:val="nil"/>
              <w:bottom w:val="nil"/>
              <w:right w:val="nil"/>
            </w:tcBorders>
            <w:shd w:val="clear" w:color="auto" w:fill="auto"/>
            <w:noWrap/>
            <w:vAlign w:val="bottom"/>
            <w:hideMark/>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0.29 </w:t>
            </w:r>
          </w:p>
        </w:tc>
        <w:tc>
          <w:tcPr>
            <w:tcW w:w="520" w:type="pct"/>
            <w:gridSpan w:val="2"/>
            <w:tcBorders>
              <w:top w:val="nil"/>
              <w:left w:val="nil"/>
              <w:bottom w:val="nil"/>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3.65</w:t>
            </w:r>
          </w:p>
        </w:tc>
      </w:tr>
      <w:tr w:rsidR="007F32A3" w:rsidRPr="007F32A3" w:rsidTr="005014FD">
        <w:trPr>
          <w:gridAfter w:val="1"/>
          <w:wAfter w:w="5" w:type="pct"/>
          <w:trHeight w:val="330"/>
        </w:trPr>
        <w:tc>
          <w:tcPr>
            <w:tcW w:w="946" w:type="pct"/>
            <w:tcBorders>
              <w:top w:val="nil"/>
              <w:left w:val="nil"/>
              <w:bottom w:val="single" w:sz="4" w:space="0" w:color="auto"/>
              <w:right w:val="nil"/>
            </w:tcBorders>
            <w:shd w:val="clear" w:color="auto" w:fill="auto"/>
            <w:noWrap/>
            <w:vAlign w:val="center"/>
          </w:tcPr>
          <w:p w:rsidR="005014FD" w:rsidRPr="007F32A3" w:rsidRDefault="005014FD" w:rsidP="005014FD">
            <w:pPr>
              <w:widowControl/>
              <w:snapToGrid w:val="0"/>
              <w:rPr>
                <w:rFonts w:ascii="Times New Roman" w:eastAsia="標楷體" w:hAnsi="Times New Roman" w:cs="Times New Roman"/>
                <w:kern w:val="0"/>
                <w:sz w:val="22"/>
              </w:rPr>
            </w:pPr>
            <w:r w:rsidRPr="007F32A3">
              <w:rPr>
                <w:rFonts w:ascii="Times New Roman" w:eastAsia="標楷體" w:hAnsi="Times New Roman" w:cs="Times New Roman"/>
                <w:kern w:val="0"/>
                <w:sz w:val="22"/>
              </w:rPr>
              <w:t>Other</w:t>
            </w:r>
          </w:p>
        </w:tc>
        <w:tc>
          <w:tcPr>
            <w:tcW w:w="602" w:type="pct"/>
            <w:tcBorders>
              <w:top w:val="nil"/>
              <w:left w:val="nil"/>
              <w:bottom w:val="single" w:sz="4" w:space="0" w:color="auto"/>
              <w:right w:val="nil"/>
            </w:tcBorders>
            <w:shd w:val="clear" w:color="auto" w:fill="auto"/>
            <w:noWrap/>
            <w:vAlign w:val="center"/>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14</w:t>
            </w:r>
            <w:r w:rsidR="007158F9" w:rsidRPr="007F32A3">
              <w:rPr>
                <w:rFonts w:ascii="Times New Roman" w:eastAsia="新細明體" w:hAnsi="Times New Roman" w:cs="Times New Roman"/>
                <w:kern w:val="0"/>
                <w:sz w:val="22"/>
              </w:rPr>
              <w:t>2</w:t>
            </w:r>
          </w:p>
        </w:tc>
        <w:tc>
          <w:tcPr>
            <w:tcW w:w="431" w:type="pct"/>
            <w:tcBorders>
              <w:top w:val="nil"/>
              <w:left w:val="nil"/>
              <w:bottom w:val="single" w:sz="4" w:space="0" w:color="auto"/>
              <w:right w:val="nil"/>
            </w:tcBorders>
            <w:shd w:val="clear" w:color="auto" w:fill="auto"/>
            <w:noWrap/>
            <w:vAlign w:val="center"/>
          </w:tcPr>
          <w:p w:rsidR="005014FD" w:rsidRPr="007F32A3" w:rsidRDefault="005014FD" w:rsidP="005014FD">
            <w:pPr>
              <w:widowControl/>
              <w:snapToGrid w:val="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9.37</w:t>
            </w:r>
          </w:p>
        </w:tc>
        <w:tc>
          <w:tcPr>
            <w:tcW w:w="429" w:type="pct"/>
            <w:tcBorders>
              <w:top w:val="nil"/>
              <w:left w:val="nil"/>
              <w:bottom w:val="single" w:sz="4" w:space="0" w:color="auto"/>
              <w:right w:val="nil"/>
            </w:tcBorders>
            <w:shd w:val="clear" w:color="auto" w:fill="auto"/>
            <w:noWrap/>
            <w:vAlign w:val="center"/>
          </w:tcPr>
          <w:p w:rsidR="005014FD" w:rsidRPr="007F32A3" w:rsidRDefault="005014FD" w:rsidP="005014FD">
            <w:pPr>
              <w:widowControl/>
              <w:jc w:val="right"/>
              <w:rPr>
                <w:rFonts w:ascii="Times New Roman" w:hAnsi="Times New Roman" w:cs="Times New Roman"/>
                <w:sz w:val="22"/>
              </w:rPr>
            </w:pPr>
            <w:r w:rsidRPr="007F32A3">
              <w:rPr>
                <w:rFonts w:ascii="Times New Roman" w:hAnsi="Times New Roman" w:cs="Times New Roman"/>
                <w:sz w:val="22"/>
              </w:rPr>
              <w:t xml:space="preserve">0.06 </w:t>
            </w:r>
          </w:p>
        </w:tc>
        <w:tc>
          <w:tcPr>
            <w:tcW w:w="430" w:type="pct"/>
            <w:tcBorders>
              <w:top w:val="nil"/>
              <w:left w:val="nil"/>
              <w:bottom w:val="single" w:sz="4" w:space="0" w:color="auto"/>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0.40 </w:t>
            </w:r>
          </w:p>
        </w:tc>
        <w:tc>
          <w:tcPr>
            <w:tcW w:w="395" w:type="pct"/>
            <w:gridSpan w:val="2"/>
            <w:tcBorders>
              <w:top w:val="nil"/>
              <w:left w:val="nil"/>
              <w:bottom w:val="single" w:sz="4" w:space="0" w:color="auto"/>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0.47 </w:t>
            </w:r>
          </w:p>
        </w:tc>
        <w:tc>
          <w:tcPr>
            <w:tcW w:w="380" w:type="pct"/>
            <w:gridSpan w:val="4"/>
            <w:tcBorders>
              <w:top w:val="nil"/>
              <w:left w:val="nil"/>
              <w:bottom w:val="single" w:sz="4" w:space="0" w:color="auto"/>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0.89 </w:t>
            </w:r>
          </w:p>
        </w:tc>
        <w:tc>
          <w:tcPr>
            <w:tcW w:w="430" w:type="pct"/>
            <w:gridSpan w:val="2"/>
            <w:tcBorders>
              <w:top w:val="nil"/>
              <w:left w:val="nil"/>
              <w:bottom w:val="single" w:sz="4" w:space="0" w:color="auto"/>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0.90 </w:t>
            </w:r>
          </w:p>
        </w:tc>
        <w:tc>
          <w:tcPr>
            <w:tcW w:w="432" w:type="pct"/>
            <w:gridSpan w:val="2"/>
            <w:tcBorders>
              <w:top w:val="nil"/>
              <w:left w:val="nil"/>
              <w:bottom w:val="single" w:sz="4" w:space="0" w:color="auto"/>
              <w:right w:val="nil"/>
            </w:tcBorders>
            <w:shd w:val="clear" w:color="auto" w:fill="auto"/>
            <w:noWrap/>
            <w:vAlign w:val="center"/>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0.17 </w:t>
            </w:r>
          </w:p>
        </w:tc>
        <w:tc>
          <w:tcPr>
            <w:tcW w:w="520" w:type="pct"/>
            <w:gridSpan w:val="2"/>
            <w:tcBorders>
              <w:top w:val="nil"/>
              <w:left w:val="nil"/>
              <w:bottom w:val="single" w:sz="4" w:space="0" w:color="auto"/>
              <w:right w:val="nil"/>
            </w:tcBorders>
            <w:shd w:val="clear" w:color="auto" w:fill="auto"/>
            <w:noWrap/>
            <w:vAlign w:val="center"/>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0.17</w:t>
            </w:r>
          </w:p>
        </w:tc>
      </w:tr>
      <w:tr w:rsidR="005014FD" w:rsidRPr="007F32A3" w:rsidTr="005014FD">
        <w:trPr>
          <w:gridAfter w:val="1"/>
          <w:wAfter w:w="5" w:type="pct"/>
          <w:trHeight w:val="330"/>
        </w:trPr>
        <w:tc>
          <w:tcPr>
            <w:tcW w:w="946" w:type="pct"/>
            <w:tcBorders>
              <w:top w:val="single" w:sz="4" w:space="0" w:color="auto"/>
              <w:left w:val="nil"/>
              <w:bottom w:val="single" w:sz="8" w:space="0" w:color="000000" w:themeColor="text1"/>
              <w:right w:val="nil"/>
            </w:tcBorders>
            <w:shd w:val="clear" w:color="auto" w:fill="auto"/>
            <w:noWrap/>
            <w:vAlign w:val="center"/>
            <w:hideMark/>
          </w:tcPr>
          <w:p w:rsidR="005014FD" w:rsidRPr="007F32A3" w:rsidRDefault="005014FD" w:rsidP="005014FD">
            <w:pPr>
              <w:widowControl/>
              <w:snapToGrid w:val="0"/>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Total</w:t>
            </w:r>
          </w:p>
        </w:tc>
        <w:tc>
          <w:tcPr>
            <w:tcW w:w="602" w:type="pct"/>
            <w:tcBorders>
              <w:top w:val="single" w:sz="4" w:space="0" w:color="auto"/>
              <w:left w:val="nil"/>
              <w:bottom w:val="single" w:sz="8" w:space="0" w:color="000000" w:themeColor="text1"/>
              <w:right w:val="nil"/>
            </w:tcBorders>
            <w:shd w:val="clear" w:color="auto" w:fill="auto"/>
            <w:noWrap/>
            <w:vAlign w:val="center"/>
            <w:hideMark/>
          </w:tcPr>
          <w:p w:rsidR="005014FD" w:rsidRPr="007F32A3" w:rsidRDefault="005014FD" w:rsidP="005014FD">
            <w:pPr>
              <w:widowControl/>
              <w:snapToGrid w:val="0"/>
              <w:ind w:rightChars="150" w:right="36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155</w:t>
            </w:r>
            <w:r w:rsidR="007158F9" w:rsidRPr="007F32A3">
              <w:rPr>
                <w:rFonts w:ascii="Times New Roman" w:eastAsia="新細明體" w:hAnsi="Times New Roman" w:cs="Times New Roman"/>
                <w:kern w:val="0"/>
                <w:sz w:val="22"/>
              </w:rPr>
              <w:t>4</w:t>
            </w:r>
          </w:p>
        </w:tc>
        <w:tc>
          <w:tcPr>
            <w:tcW w:w="431" w:type="pct"/>
            <w:tcBorders>
              <w:top w:val="single" w:sz="4" w:space="0" w:color="auto"/>
              <w:left w:val="nil"/>
              <w:bottom w:val="single" w:sz="8" w:space="0" w:color="000000" w:themeColor="text1"/>
              <w:right w:val="nil"/>
            </w:tcBorders>
            <w:shd w:val="clear" w:color="auto" w:fill="auto"/>
            <w:noWrap/>
            <w:vAlign w:val="center"/>
            <w:hideMark/>
          </w:tcPr>
          <w:p w:rsidR="005014FD" w:rsidRPr="007F32A3" w:rsidRDefault="005014FD" w:rsidP="005014FD">
            <w:pPr>
              <w:widowControl/>
              <w:snapToGrid w:val="0"/>
              <w:ind w:leftChars="-50" w:lef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100.00</w:t>
            </w:r>
          </w:p>
        </w:tc>
        <w:tc>
          <w:tcPr>
            <w:tcW w:w="429" w:type="pct"/>
            <w:tcBorders>
              <w:top w:val="single" w:sz="4" w:space="0" w:color="auto"/>
              <w:left w:val="nil"/>
              <w:bottom w:val="single" w:sz="8" w:space="0" w:color="000000" w:themeColor="text1"/>
              <w:right w:val="nil"/>
            </w:tcBorders>
            <w:shd w:val="clear" w:color="auto" w:fill="auto"/>
            <w:noWrap/>
            <w:vAlign w:val="bottom"/>
          </w:tcPr>
          <w:p w:rsidR="005014FD" w:rsidRPr="007F32A3" w:rsidRDefault="005014FD" w:rsidP="005014FD">
            <w:pPr>
              <w:widowControl/>
              <w:jc w:val="right"/>
              <w:rPr>
                <w:rFonts w:ascii="Times New Roman" w:hAnsi="Times New Roman" w:cs="Times New Roman"/>
                <w:sz w:val="22"/>
              </w:rPr>
            </w:pPr>
            <w:r w:rsidRPr="007F32A3">
              <w:rPr>
                <w:rFonts w:ascii="Times New Roman" w:hAnsi="Times New Roman" w:cs="Times New Roman"/>
                <w:sz w:val="22"/>
              </w:rPr>
              <w:t xml:space="preserve">0.37 </w:t>
            </w:r>
          </w:p>
        </w:tc>
        <w:tc>
          <w:tcPr>
            <w:tcW w:w="430" w:type="pct"/>
            <w:tcBorders>
              <w:top w:val="single" w:sz="4" w:space="0" w:color="auto"/>
              <w:left w:val="nil"/>
              <w:bottom w:val="single" w:sz="8" w:space="0" w:color="000000" w:themeColor="text1"/>
              <w:right w:val="nil"/>
            </w:tcBorders>
            <w:shd w:val="clear" w:color="auto" w:fill="auto"/>
            <w:noWrap/>
            <w:vAlign w:val="bottom"/>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0.38 </w:t>
            </w:r>
          </w:p>
        </w:tc>
        <w:tc>
          <w:tcPr>
            <w:tcW w:w="395" w:type="pct"/>
            <w:gridSpan w:val="2"/>
            <w:tcBorders>
              <w:top w:val="single" w:sz="4" w:space="0" w:color="auto"/>
              <w:left w:val="nil"/>
              <w:bottom w:val="single" w:sz="8" w:space="0" w:color="000000" w:themeColor="text1"/>
              <w:right w:val="nil"/>
            </w:tcBorders>
            <w:shd w:val="clear" w:color="auto" w:fill="auto"/>
            <w:noWrap/>
            <w:vAlign w:val="bottom"/>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0.90 </w:t>
            </w:r>
          </w:p>
        </w:tc>
        <w:tc>
          <w:tcPr>
            <w:tcW w:w="380" w:type="pct"/>
            <w:gridSpan w:val="4"/>
            <w:tcBorders>
              <w:top w:val="single" w:sz="4" w:space="0" w:color="auto"/>
              <w:left w:val="nil"/>
              <w:bottom w:val="single" w:sz="8" w:space="0" w:color="000000" w:themeColor="text1"/>
              <w:right w:val="nil"/>
            </w:tcBorders>
            <w:shd w:val="clear" w:color="auto" w:fill="auto"/>
            <w:noWrap/>
            <w:vAlign w:val="bottom"/>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0.94 </w:t>
            </w:r>
          </w:p>
        </w:tc>
        <w:tc>
          <w:tcPr>
            <w:tcW w:w="430" w:type="pct"/>
            <w:gridSpan w:val="2"/>
            <w:tcBorders>
              <w:top w:val="single" w:sz="4" w:space="0" w:color="auto"/>
              <w:left w:val="nil"/>
              <w:bottom w:val="single" w:sz="8" w:space="0" w:color="000000" w:themeColor="text1"/>
              <w:right w:val="nil"/>
            </w:tcBorders>
            <w:shd w:val="clear" w:color="auto" w:fill="auto"/>
            <w:noWrap/>
            <w:vAlign w:val="bottom"/>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0.50 </w:t>
            </w:r>
          </w:p>
        </w:tc>
        <w:tc>
          <w:tcPr>
            <w:tcW w:w="432" w:type="pct"/>
            <w:gridSpan w:val="2"/>
            <w:tcBorders>
              <w:top w:val="single" w:sz="4" w:space="0" w:color="auto"/>
              <w:left w:val="nil"/>
              <w:bottom w:val="single" w:sz="8" w:space="0" w:color="000000" w:themeColor="text1"/>
              <w:right w:val="nil"/>
            </w:tcBorders>
            <w:shd w:val="clear" w:color="auto" w:fill="auto"/>
            <w:noWrap/>
            <w:vAlign w:val="bottom"/>
          </w:tcPr>
          <w:p w:rsidR="005014FD" w:rsidRPr="007F32A3" w:rsidRDefault="005014FD" w:rsidP="005014FD">
            <w:pPr>
              <w:jc w:val="right"/>
              <w:rPr>
                <w:rFonts w:ascii="Times New Roman" w:hAnsi="Times New Roman" w:cs="Times New Roman"/>
                <w:sz w:val="22"/>
              </w:rPr>
            </w:pPr>
            <w:r w:rsidRPr="007F32A3">
              <w:rPr>
                <w:rFonts w:ascii="Times New Roman" w:hAnsi="Times New Roman" w:cs="Times New Roman"/>
                <w:sz w:val="22"/>
              </w:rPr>
              <w:t xml:space="preserve">0.35 </w:t>
            </w:r>
          </w:p>
        </w:tc>
        <w:tc>
          <w:tcPr>
            <w:tcW w:w="520" w:type="pct"/>
            <w:gridSpan w:val="2"/>
            <w:tcBorders>
              <w:top w:val="single" w:sz="4" w:space="0" w:color="auto"/>
              <w:left w:val="nil"/>
              <w:bottom w:val="single" w:sz="8" w:space="0" w:color="000000" w:themeColor="text1"/>
              <w:right w:val="nil"/>
            </w:tcBorders>
            <w:shd w:val="clear" w:color="auto" w:fill="auto"/>
            <w:noWrap/>
            <w:vAlign w:val="center"/>
            <w:hideMark/>
          </w:tcPr>
          <w:p w:rsidR="005014FD" w:rsidRPr="007F32A3" w:rsidRDefault="005014FD" w:rsidP="005014FD">
            <w:pPr>
              <w:widowControl/>
              <w:ind w:rightChars="50" w:right="120"/>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　</w:t>
            </w:r>
            <w:r w:rsidRPr="007F32A3">
              <w:rPr>
                <w:rFonts w:ascii="Times New Roman" w:eastAsia="新細明體" w:hAnsi="Times New Roman" w:cs="Times New Roman"/>
                <w:kern w:val="0"/>
                <w:sz w:val="22"/>
              </w:rPr>
              <w:t>3.38</w:t>
            </w:r>
          </w:p>
        </w:tc>
      </w:tr>
    </w:tbl>
    <w:p w:rsidR="006D60F3" w:rsidRPr="007F32A3" w:rsidRDefault="006D60F3" w:rsidP="006D60F3">
      <w:pPr>
        <w:spacing w:beforeLines="50" w:before="180" w:afterLines="50" w:after="180"/>
        <w:contextualSpacing/>
        <w:jc w:val="both"/>
        <w:rPr>
          <w:rFonts w:ascii="Times New Roman" w:hAnsi="Times New Roman" w:cs="Times New Roman"/>
          <w:strike/>
          <w:shd w:val="clear" w:color="auto" w:fill="FFFFFF"/>
        </w:rPr>
      </w:pPr>
    </w:p>
    <w:p w:rsidR="006D60F3" w:rsidRPr="007F32A3" w:rsidRDefault="006D60F3" w:rsidP="006D60F3">
      <w:pPr>
        <w:spacing w:beforeLines="50" w:before="180" w:afterLines="50" w:after="180"/>
        <w:contextualSpacing/>
        <w:jc w:val="both"/>
        <w:rPr>
          <w:rFonts w:ascii="Times New Roman" w:hAnsi="Times New Roman" w:cs="Times New Roman"/>
          <w:strike/>
          <w:shd w:val="clear" w:color="auto" w:fill="FFFFFF"/>
        </w:rPr>
      </w:pPr>
    </w:p>
    <w:p w:rsidR="005331D8" w:rsidRPr="007F32A3" w:rsidRDefault="005331D8">
      <w:pPr>
        <w:rPr>
          <w:rFonts w:ascii="Times New Roman" w:hAnsi="Times New Roman" w:cs="Times New Roman"/>
        </w:rPr>
      </w:pPr>
    </w:p>
    <w:p w:rsidR="0002186D" w:rsidRPr="007F32A3" w:rsidRDefault="0002186D">
      <w:pPr>
        <w:rPr>
          <w:rFonts w:ascii="Times New Roman" w:hAnsi="Times New Roman" w:cs="Times New Roman"/>
        </w:rPr>
      </w:pPr>
    </w:p>
    <w:p w:rsidR="0002186D" w:rsidRPr="007F32A3" w:rsidRDefault="0002186D">
      <w:pPr>
        <w:rPr>
          <w:rFonts w:ascii="Times New Roman" w:hAnsi="Times New Roman" w:cs="Times New Roman"/>
        </w:rPr>
      </w:pPr>
    </w:p>
    <w:p w:rsidR="007158F9" w:rsidRPr="007F32A3" w:rsidRDefault="007158F9">
      <w:pPr>
        <w:rPr>
          <w:rFonts w:ascii="Times New Roman" w:hAnsi="Times New Roman" w:cs="Times New Roman"/>
        </w:rPr>
      </w:pPr>
    </w:p>
    <w:p w:rsidR="007158F9" w:rsidRPr="007F32A3" w:rsidRDefault="007158F9">
      <w:pPr>
        <w:rPr>
          <w:rFonts w:ascii="Times New Roman" w:hAnsi="Times New Roman" w:cs="Times New Roman"/>
        </w:rPr>
      </w:pPr>
    </w:p>
    <w:p w:rsidR="007158F9" w:rsidRPr="007F32A3" w:rsidRDefault="007158F9">
      <w:pPr>
        <w:rPr>
          <w:rFonts w:ascii="Times New Roman" w:hAnsi="Times New Roman" w:cs="Times New Roman"/>
        </w:rPr>
      </w:pPr>
    </w:p>
    <w:tbl>
      <w:tblPr>
        <w:tblW w:w="0" w:type="auto"/>
        <w:tblInd w:w="-142" w:type="dxa"/>
        <w:tblLayout w:type="fixed"/>
        <w:tblCellMar>
          <w:left w:w="28" w:type="dxa"/>
          <w:right w:w="28" w:type="dxa"/>
        </w:tblCellMar>
        <w:tblLook w:val="04A0" w:firstRow="1" w:lastRow="0" w:firstColumn="1" w:lastColumn="0" w:noHBand="0" w:noVBand="1"/>
      </w:tblPr>
      <w:tblGrid>
        <w:gridCol w:w="842"/>
        <w:gridCol w:w="313"/>
        <w:gridCol w:w="674"/>
        <w:gridCol w:w="723"/>
        <w:gridCol w:w="709"/>
        <w:gridCol w:w="709"/>
        <w:gridCol w:w="708"/>
        <w:gridCol w:w="709"/>
        <w:gridCol w:w="709"/>
        <w:gridCol w:w="658"/>
        <w:gridCol w:w="51"/>
        <w:gridCol w:w="29"/>
        <w:gridCol w:w="112"/>
        <w:gridCol w:w="709"/>
        <w:gridCol w:w="168"/>
        <w:gridCol w:w="824"/>
        <w:gridCol w:w="142"/>
        <w:gridCol w:w="709"/>
        <w:gridCol w:w="282"/>
      </w:tblGrid>
      <w:tr w:rsidR="007F32A3" w:rsidRPr="007F32A3" w:rsidTr="000730E6">
        <w:trPr>
          <w:trHeight w:val="379"/>
        </w:trPr>
        <w:tc>
          <w:tcPr>
            <w:tcW w:w="9780" w:type="dxa"/>
            <w:gridSpan w:val="19"/>
            <w:tcBorders>
              <w:top w:val="nil"/>
              <w:left w:val="nil"/>
              <w:bottom w:val="single" w:sz="8" w:space="0" w:color="auto"/>
              <w:right w:val="nil"/>
            </w:tcBorders>
            <w:shd w:val="clear" w:color="auto" w:fill="auto"/>
            <w:noWrap/>
            <w:vAlign w:val="center"/>
            <w:hideMark/>
          </w:tcPr>
          <w:p w:rsidR="005F2DF6" w:rsidRPr="007F32A3" w:rsidRDefault="005F2DF6" w:rsidP="00597341">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lastRenderedPageBreak/>
              <w:t xml:space="preserve">Table </w:t>
            </w:r>
            <w:r w:rsidR="005331D8" w:rsidRPr="007F32A3">
              <w:rPr>
                <w:rFonts w:ascii="Times New Roman" w:eastAsia="新細明體" w:hAnsi="Times New Roman" w:cs="Times New Roman"/>
                <w:b/>
                <w:bCs/>
                <w:kern w:val="0"/>
                <w:sz w:val="22"/>
              </w:rPr>
              <w:t>2</w:t>
            </w:r>
            <w:r w:rsidRPr="007F32A3">
              <w:rPr>
                <w:rFonts w:ascii="Times New Roman" w:eastAsia="新細明體" w:hAnsi="Times New Roman" w:cs="Times New Roman"/>
                <w:b/>
                <w:bCs/>
                <w:kern w:val="0"/>
                <w:sz w:val="22"/>
              </w:rPr>
              <w:t xml:space="preserve"> Descriptive and </w:t>
            </w:r>
            <w:r w:rsidR="00597341" w:rsidRPr="007F32A3">
              <w:rPr>
                <w:rFonts w:ascii="Times New Roman" w:eastAsia="新細明體" w:hAnsi="Times New Roman" w:cs="Times New Roman"/>
                <w:b/>
                <w:bCs/>
                <w:kern w:val="0"/>
                <w:sz w:val="22"/>
              </w:rPr>
              <w:t>Difference Test</w:t>
            </w:r>
            <w:r w:rsidRPr="007F32A3">
              <w:rPr>
                <w:rFonts w:ascii="Times New Roman" w:eastAsia="新細明體" w:hAnsi="Times New Roman" w:cs="Times New Roman"/>
                <w:b/>
                <w:bCs/>
                <w:kern w:val="0"/>
                <w:sz w:val="22"/>
              </w:rPr>
              <w:t xml:space="preserve"> </w:t>
            </w:r>
          </w:p>
        </w:tc>
      </w:tr>
      <w:tr w:rsidR="007F32A3" w:rsidRPr="007F32A3" w:rsidTr="000730E6">
        <w:trPr>
          <w:trHeight w:val="379"/>
        </w:trPr>
        <w:tc>
          <w:tcPr>
            <w:tcW w:w="6754" w:type="dxa"/>
            <w:gridSpan w:val="10"/>
            <w:tcBorders>
              <w:top w:val="single" w:sz="8" w:space="0" w:color="auto"/>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Panel A: </w:t>
            </w:r>
            <w:r w:rsidR="000730E6" w:rsidRPr="007F32A3">
              <w:rPr>
                <w:rFonts w:ascii="Times New Roman" w:eastAsia="新細明體" w:hAnsi="Times New Roman" w:cs="Times New Roman"/>
                <w:b/>
                <w:bCs/>
                <w:kern w:val="0"/>
                <w:sz w:val="22"/>
              </w:rPr>
              <w:t>Descriptive</w:t>
            </w:r>
            <w:r w:rsidRPr="007F32A3">
              <w:rPr>
                <w:rFonts w:ascii="Times New Roman" w:eastAsia="新細明體" w:hAnsi="Times New Roman" w:cs="Times New Roman"/>
                <w:b/>
                <w:bCs/>
                <w:kern w:val="0"/>
                <w:sz w:val="22"/>
              </w:rPr>
              <w:t xml:space="preserve"> Statistics (N=15</w:t>
            </w:r>
            <w:r w:rsidR="007158F9" w:rsidRPr="007F32A3">
              <w:rPr>
                <w:rFonts w:ascii="Times New Roman" w:eastAsia="新細明體" w:hAnsi="Times New Roman" w:cs="Times New Roman"/>
                <w:b/>
                <w:bCs/>
                <w:kern w:val="0"/>
                <w:sz w:val="22"/>
              </w:rPr>
              <w:t>5</w:t>
            </w:r>
            <w:r w:rsidRPr="007F32A3">
              <w:rPr>
                <w:rFonts w:ascii="Times New Roman" w:eastAsia="新細明體" w:hAnsi="Times New Roman" w:cs="Times New Roman"/>
                <w:b/>
                <w:bCs/>
                <w:kern w:val="0"/>
                <w:sz w:val="22"/>
              </w:rPr>
              <w:t>4)</w:t>
            </w:r>
          </w:p>
        </w:tc>
        <w:tc>
          <w:tcPr>
            <w:tcW w:w="80" w:type="dxa"/>
            <w:gridSpan w:val="2"/>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p>
        </w:tc>
        <w:tc>
          <w:tcPr>
            <w:tcW w:w="2946" w:type="dxa"/>
            <w:gridSpan w:val="7"/>
            <w:tcBorders>
              <w:top w:val="single" w:sz="8" w:space="0" w:color="auto"/>
              <w:left w:val="nil"/>
              <w:bottom w:val="single" w:sz="8" w:space="0" w:color="auto"/>
              <w:right w:val="nil"/>
            </w:tcBorders>
            <w:shd w:val="clear" w:color="auto" w:fill="auto"/>
            <w:noWrap/>
            <w:vAlign w:val="center"/>
            <w:hideMark/>
          </w:tcPr>
          <w:p w:rsidR="005F2DF6" w:rsidRPr="007F32A3" w:rsidRDefault="005F2DF6" w:rsidP="00597341">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Panel B: </w:t>
            </w:r>
            <w:r w:rsidR="00597341" w:rsidRPr="007F32A3">
              <w:rPr>
                <w:rFonts w:ascii="Times New Roman" w:eastAsia="新細明體" w:hAnsi="Times New Roman" w:cs="Times New Roman"/>
                <w:b/>
                <w:bCs/>
                <w:kern w:val="0"/>
                <w:sz w:val="22"/>
              </w:rPr>
              <w:t xml:space="preserve">Mann-Whitney Test </w:t>
            </w:r>
            <w:r w:rsidRPr="007F32A3">
              <w:rPr>
                <w:rFonts w:ascii="Times New Roman" w:eastAsia="新細明體" w:hAnsi="Times New Roman" w:cs="Times New Roman"/>
                <w:b/>
                <w:bCs/>
                <w:kern w:val="0"/>
                <w:sz w:val="22"/>
              </w:rPr>
              <w:t xml:space="preserve"> </w:t>
            </w:r>
          </w:p>
        </w:tc>
      </w:tr>
      <w:tr w:rsidR="007F32A3" w:rsidRPr="007F32A3" w:rsidTr="000730E6">
        <w:trPr>
          <w:trHeight w:val="608"/>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674"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Times New Roman" w:hAnsi="Times New Roman" w:cs="Times New Roman"/>
                <w:kern w:val="0"/>
                <w:sz w:val="22"/>
              </w:rPr>
            </w:pPr>
          </w:p>
        </w:tc>
        <w:tc>
          <w:tcPr>
            <w:tcW w:w="72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709" w:type="dxa"/>
            <w:tcBorders>
              <w:top w:val="nil"/>
              <w:left w:val="nil"/>
              <w:bottom w:val="nil"/>
              <w:right w:val="nil"/>
            </w:tcBorders>
            <w:shd w:val="clear" w:color="auto" w:fill="auto"/>
            <w:noWrap/>
            <w:vAlign w:val="center"/>
            <w:hideMark/>
          </w:tcPr>
          <w:p w:rsidR="005F2DF6" w:rsidRPr="007F32A3" w:rsidRDefault="005F2DF6" w:rsidP="005F2DF6">
            <w:pPr>
              <w:widowControl/>
              <w:snapToGrid w:val="0"/>
              <w:ind w:leftChars="-15" w:left="-36" w:rightChars="-15" w:right="-36"/>
              <w:jc w:val="center"/>
              <w:rPr>
                <w:rFonts w:ascii="Times New Roman" w:eastAsia="新細明體" w:hAnsi="Times New Roman" w:cs="Times New Roman"/>
                <w:b/>
                <w:bCs/>
                <w:kern w:val="0"/>
                <w:sz w:val="22"/>
              </w:rPr>
            </w:pPr>
          </w:p>
          <w:p w:rsidR="005F2DF6" w:rsidRPr="007F32A3" w:rsidRDefault="005F2DF6" w:rsidP="005F2DF6">
            <w:pPr>
              <w:widowControl/>
              <w:snapToGrid w:val="0"/>
              <w:ind w:leftChars="-15" w:left="-36" w:rightChars="-15" w:right="-36"/>
              <w:jc w:val="center"/>
              <w:rPr>
                <w:rFonts w:ascii="Times New Roman" w:eastAsia="新細明體" w:hAnsi="Times New Roman" w:cs="Times New Roman"/>
                <w:b/>
                <w:bCs/>
                <w:kern w:val="0"/>
                <w:sz w:val="22"/>
              </w:rPr>
            </w:pPr>
          </w:p>
          <w:p w:rsidR="005F2DF6" w:rsidRPr="007F32A3" w:rsidRDefault="005F2DF6" w:rsidP="005F2DF6">
            <w:pPr>
              <w:widowControl/>
              <w:snapToGrid w:val="0"/>
              <w:ind w:leftChars="-15" w:left="-36" w:rightChars="-15" w:right="-36"/>
              <w:jc w:val="center"/>
              <w:rPr>
                <w:rFonts w:ascii="Times New Roman" w:eastAsia="Times New Roman" w:hAnsi="Times New Roman" w:cs="Times New Roman"/>
                <w:kern w:val="0"/>
                <w:sz w:val="22"/>
              </w:rPr>
            </w:pPr>
            <w:r w:rsidRPr="007F32A3">
              <w:rPr>
                <w:rFonts w:ascii="Times New Roman" w:eastAsia="新細明體" w:hAnsi="Times New Roman" w:cs="Times New Roman"/>
                <w:b/>
                <w:bCs/>
                <w:kern w:val="0"/>
                <w:sz w:val="22"/>
              </w:rPr>
              <w:t xml:space="preserve"> Std. </w:t>
            </w:r>
          </w:p>
        </w:tc>
        <w:tc>
          <w:tcPr>
            <w:tcW w:w="709"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708"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709"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709"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658"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80" w:type="dxa"/>
            <w:gridSpan w:val="2"/>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Times New Roman" w:hAnsi="Times New Roman" w:cs="Times New Roman"/>
                <w:kern w:val="0"/>
                <w:sz w:val="22"/>
              </w:rPr>
            </w:pPr>
          </w:p>
        </w:tc>
        <w:tc>
          <w:tcPr>
            <w:tcW w:w="989" w:type="dxa"/>
            <w:gridSpan w:val="3"/>
            <w:tcBorders>
              <w:top w:val="nil"/>
              <w:left w:val="nil"/>
              <w:bottom w:val="single" w:sz="4" w:space="0" w:color="auto"/>
              <w:right w:val="nil"/>
            </w:tcBorders>
            <w:shd w:val="clear" w:color="auto" w:fill="auto"/>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HQKAM (N=681)</w:t>
            </w:r>
            <w:r w:rsidRPr="007F32A3">
              <w:rPr>
                <w:rFonts w:ascii="Times New Roman" w:eastAsia="新細明體" w:hAnsi="Times New Roman" w:cs="Times New Roman"/>
                <w:b/>
                <w:bCs/>
                <w:kern w:val="0"/>
                <w:sz w:val="22"/>
              </w:rPr>
              <w:t xml:space="preserve">　</w:t>
            </w:r>
          </w:p>
        </w:tc>
        <w:tc>
          <w:tcPr>
            <w:tcW w:w="966" w:type="dxa"/>
            <w:gridSpan w:val="2"/>
            <w:tcBorders>
              <w:top w:val="nil"/>
              <w:left w:val="nil"/>
              <w:bottom w:val="single" w:sz="4" w:space="0" w:color="auto"/>
              <w:right w:val="nil"/>
            </w:tcBorders>
            <w:shd w:val="clear" w:color="auto" w:fill="auto"/>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LQKAM (N=873)</w:t>
            </w:r>
            <w:r w:rsidRPr="007F32A3">
              <w:rPr>
                <w:rFonts w:ascii="Times New Roman" w:eastAsia="新細明體" w:hAnsi="Times New Roman" w:cs="Times New Roman"/>
                <w:b/>
                <w:bCs/>
                <w:kern w:val="0"/>
                <w:sz w:val="22"/>
              </w:rPr>
              <w:t xml:space="preserve">　</w:t>
            </w:r>
          </w:p>
        </w:tc>
        <w:tc>
          <w:tcPr>
            <w:tcW w:w="991" w:type="dxa"/>
            <w:gridSpan w:val="2"/>
            <w:vMerge w:val="restart"/>
            <w:tcBorders>
              <w:top w:val="single" w:sz="8" w:space="0" w:color="auto"/>
              <w:left w:val="nil"/>
              <w:bottom w:val="single" w:sz="8" w:space="0" w:color="000000"/>
              <w:right w:val="nil"/>
            </w:tcBorders>
            <w:shd w:val="clear" w:color="auto" w:fill="auto"/>
            <w:vAlign w:val="center"/>
            <w:hideMark/>
          </w:tcPr>
          <w:p w:rsidR="005F2DF6" w:rsidRPr="007F32A3" w:rsidRDefault="005F2DF6" w:rsidP="005F2DF6">
            <w:pPr>
              <w:widowControl/>
              <w:ind w:leftChars="-25" w:left="-60"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M-W statistic </w:t>
            </w:r>
          </w:p>
        </w:tc>
      </w:tr>
      <w:tr w:rsidR="007F32A3" w:rsidRPr="007F32A3" w:rsidTr="000730E6">
        <w:trPr>
          <w:trHeight w:val="379"/>
        </w:trPr>
        <w:tc>
          <w:tcPr>
            <w:tcW w:w="1155" w:type="dxa"/>
            <w:gridSpan w:val="2"/>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Variables</w:t>
            </w:r>
            <w:r w:rsidRPr="007F32A3">
              <w:rPr>
                <w:rFonts w:ascii="Times New Roman" w:eastAsia="新細明體" w:hAnsi="Times New Roman" w:cs="Times New Roman"/>
                <w:b/>
                <w:bCs/>
                <w:kern w:val="0"/>
                <w:sz w:val="22"/>
              </w:rPr>
              <w:t xml:space="preserve">　</w:t>
            </w:r>
          </w:p>
        </w:tc>
        <w:tc>
          <w:tcPr>
            <w:tcW w:w="674"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Mean</w:t>
            </w:r>
          </w:p>
        </w:tc>
        <w:tc>
          <w:tcPr>
            <w:tcW w:w="723"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Median</w:t>
            </w:r>
          </w:p>
        </w:tc>
        <w:tc>
          <w:tcPr>
            <w:tcW w:w="709"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snapToGrid w:val="0"/>
              <w:ind w:leftChars="50" w:left="120"/>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Dev.</w:t>
            </w:r>
          </w:p>
        </w:tc>
        <w:tc>
          <w:tcPr>
            <w:tcW w:w="709"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Min</w:t>
            </w:r>
          </w:p>
        </w:tc>
        <w:tc>
          <w:tcPr>
            <w:tcW w:w="708"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right"/>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25%</w:t>
            </w:r>
          </w:p>
        </w:tc>
        <w:tc>
          <w:tcPr>
            <w:tcW w:w="709"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right"/>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50%</w:t>
            </w:r>
          </w:p>
        </w:tc>
        <w:tc>
          <w:tcPr>
            <w:tcW w:w="709"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right"/>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75%</w:t>
            </w:r>
          </w:p>
        </w:tc>
        <w:tc>
          <w:tcPr>
            <w:tcW w:w="658"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right"/>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Max</w:t>
            </w:r>
          </w:p>
        </w:tc>
        <w:tc>
          <w:tcPr>
            <w:tcW w:w="80" w:type="dxa"/>
            <w:gridSpan w:val="2"/>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p>
        </w:tc>
        <w:tc>
          <w:tcPr>
            <w:tcW w:w="989" w:type="dxa"/>
            <w:gridSpan w:val="3"/>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Median</w:t>
            </w:r>
            <w:r w:rsidRPr="007F32A3">
              <w:rPr>
                <w:rFonts w:ascii="Times New Roman" w:eastAsia="新細明體" w:hAnsi="Times New Roman" w:cs="Times New Roman"/>
                <w:b/>
                <w:bCs/>
                <w:kern w:val="0"/>
                <w:sz w:val="22"/>
              </w:rPr>
              <w:t xml:space="preserve">　</w:t>
            </w:r>
          </w:p>
        </w:tc>
        <w:tc>
          <w:tcPr>
            <w:tcW w:w="966" w:type="dxa"/>
            <w:gridSpan w:val="2"/>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Median</w:t>
            </w:r>
            <w:r w:rsidRPr="007F32A3">
              <w:rPr>
                <w:rFonts w:ascii="Times New Roman" w:eastAsia="新細明體" w:hAnsi="Times New Roman" w:cs="Times New Roman"/>
                <w:b/>
                <w:bCs/>
                <w:kern w:val="0"/>
                <w:sz w:val="22"/>
              </w:rPr>
              <w:t xml:space="preserve">　</w:t>
            </w:r>
          </w:p>
        </w:tc>
        <w:tc>
          <w:tcPr>
            <w:tcW w:w="991" w:type="dxa"/>
            <w:gridSpan w:val="2"/>
            <w:vMerge/>
            <w:tcBorders>
              <w:top w:val="nil"/>
              <w:left w:val="nil"/>
              <w:bottom w:val="single" w:sz="8" w:space="0" w:color="auto"/>
              <w:right w:val="nil"/>
            </w:tcBorders>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p>
        </w:tc>
      </w:tr>
      <w:tr w:rsidR="007F32A3" w:rsidRPr="007F32A3" w:rsidTr="000730E6">
        <w:trPr>
          <w:trHeight w:val="379"/>
        </w:trPr>
        <w:tc>
          <w:tcPr>
            <w:tcW w:w="1155" w:type="dxa"/>
            <w:gridSpan w:val="2"/>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HQKAM</w:t>
            </w: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0.438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0.496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rPr>
                <w:rFonts w:ascii="Times New Roman" w:eastAsia="Times New Roman" w:hAnsi="Times New Roman" w:cs="Times New Roman"/>
                <w:kern w:val="0"/>
                <w:sz w:val="22"/>
              </w:rPr>
            </w:pP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rPr>
                <w:rFonts w:ascii="Times New Roman" w:eastAsia="Times New Roman"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rPr>
                <w:rFonts w:ascii="Times New Roman" w:eastAsia="Times New Roman" w:hAnsi="Times New Roman" w:cs="Times New Roman"/>
                <w:kern w:val="0"/>
                <w:sz w:val="22"/>
              </w:rPr>
            </w:pP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rPr>
                <w:rFonts w:ascii="Times New Roman" w:eastAsia="Times New Roman" w:hAnsi="Times New Roman" w:cs="Times New Roman"/>
                <w:kern w:val="0"/>
                <w:sz w:val="22"/>
              </w:rPr>
            </w:pPr>
          </w:p>
        </w:tc>
        <w:tc>
          <w:tcPr>
            <w:tcW w:w="709" w:type="dxa"/>
            <w:tcBorders>
              <w:top w:val="single" w:sz="4" w:space="0" w:color="C0C0C0"/>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jc w:val="right"/>
              <w:rPr>
                <w:rFonts w:ascii="Times New Roman" w:eastAsia="新細明體" w:hAnsi="Times New Roman" w:cs="Times New Roman"/>
                <w:kern w:val="0"/>
                <w:sz w:val="22"/>
              </w:rPr>
            </w:pPr>
          </w:p>
        </w:tc>
      </w:tr>
      <w:tr w:rsidR="007F32A3" w:rsidRPr="007F32A3" w:rsidTr="000730E6">
        <w:trPr>
          <w:trHeight w:val="379"/>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KAM</w:t>
            </w: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3.376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1.080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3.000 </w:t>
            </w: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35.196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vertAlign w:val="superscript"/>
              </w:rPr>
              <w:t>***</w:t>
            </w:r>
          </w:p>
        </w:tc>
      </w:tr>
      <w:tr w:rsidR="007F32A3" w:rsidRPr="007F32A3" w:rsidTr="000730E6">
        <w:trPr>
          <w:trHeight w:val="379"/>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SPE</w:t>
            </w: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0.050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0.218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D40D1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0.00</w:t>
            </w:r>
            <w:r w:rsidR="00D40D1E" w:rsidRPr="007F32A3">
              <w:rPr>
                <w:rFonts w:ascii="Times New Roman" w:eastAsia="新細明體" w:hAnsi="Times New Roman" w:cs="Times New Roman"/>
                <w:kern w:val="0"/>
                <w:sz w:val="22"/>
              </w:rPr>
              <w:t>1</w:t>
            </w:r>
            <w:r w:rsidRPr="007F32A3">
              <w:rPr>
                <w:rFonts w:ascii="Times New Roman" w:eastAsia="新細明體" w:hAnsi="Times New Roman" w:cs="Times New Roman"/>
                <w:kern w:val="0"/>
                <w:sz w:val="22"/>
              </w:rPr>
              <w:t xml:space="preserve">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142" w:type="dxa"/>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2.064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vertAlign w:val="superscript"/>
              </w:rPr>
              <w:t>**</w:t>
            </w:r>
          </w:p>
        </w:tc>
      </w:tr>
      <w:tr w:rsidR="007F32A3" w:rsidRPr="007F32A3" w:rsidTr="000730E6">
        <w:trPr>
          <w:trHeight w:val="379"/>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BIGN</w:t>
            </w: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0.878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0.328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-1.831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vertAlign w:val="superscript"/>
              </w:rPr>
              <w:t>*</w:t>
            </w:r>
          </w:p>
        </w:tc>
      </w:tr>
      <w:tr w:rsidR="007F32A3" w:rsidRPr="007F32A3" w:rsidTr="000730E6">
        <w:trPr>
          <w:trHeight w:val="379"/>
        </w:trPr>
        <w:tc>
          <w:tcPr>
            <w:tcW w:w="1155" w:type="dxa"/>
            <w:gridSpan w:val="2"/>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CPATEN</w:t>
            </w: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4.443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5.000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1.843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5.000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8.000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5.000 </w:t>
            </w:r>
          </w:p>
        </w:tc>
        <w:tc>
          <w:tcPr>
            <w:tcW w:w="168" w:type="dxa"/>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142" w:type="dxa"/>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-0.291 </w:t>
            </w:r>
          </w:p>
        </w:tc>
        <w:tc>
          <w:tcPr>
            <w:tcW w:w="28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right"/>
              <w:rPr>
                <w:rFonts w:ascii="Times New Roman" w:eastAsia="新細明體" w:hAnsi="Times New Roman" w:cs="Times New Roman"/>
                <w:kern w:val="0"/>
                <w:sz w:val="22"/>
              </w:rPr>
            </w:pPr>
          </w:p>
        </w:tc>
      </w:tr>
      <w:tr w:rsidR="007F32A3" w:rsidRPr="007F32A3" w:rsidTr="000730E6">
        <w:trPr>
          <w:trHeight w:val="379"/>
        </w:trPr>
        <w:tc>
          <w:tcPr>
            <w:tcW w:w="1155" w:type="dxa"/>
            <w:gridSpan w:val="2"/>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CPAEXP</w:t>
            </w: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16.221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17.000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4.834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13.000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17.000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19.000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27.000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17.000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16.000 </w:t>
            </w: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0.255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jc w:val="right"/>
              <w:rPr>
                <w:rFonts w:ascii="Times New Roman" w:eastAsia="新細明體" w:hAnsi="Times New Roman" w:cs="Times New Roman"/>
                <w:kern w:val="0"/>
                <w:sz w:val="22"/>
              </w:rPr>
            </w:pPr>
          </w:p>
        </w:tc>
      </w:tr>
      <w:tr w:rsidR="007F32A3" w:rsidRPr="007F32A3" w:rsidTr="000730E6">
        <w:trPr>
          <w:trHeight w:val="379"/>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SIZE</w:t>
            </w: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6.657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6.572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0.619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5.427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6.226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6.572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6.999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8.587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6.582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6.564 </w:t>
            </w: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-0.163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jc w:val="right"/>
              <w:rPr>
                <w:rFonts w:ascii="Times New Roman" w:eastAsia="新細明體" w:hAnsi="Times New Roman" w:cs="Times New Roman"/>
                <w:kern w:val="0"/>
                <w:sz w:val="22"/>
              </w:rPr>
            </w:pPr>
          </w:p>
        </w:tc>
      </w:tr>
      <w:tr w:rsidR="007F32A3" w:rsidRPr="007F32A3" w:rsidTr="000730E6">
        <w:trPr>
          <w:trHeight w:val="379"/>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CG </w:t>
            </w: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3.708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1.086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7.000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4.000 </w:t>
            </w: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1.239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jc w:val="right"/>
              <w:rPr>
                <w:rFonts w:ascii="Times New Roman" w:eastAsia="新細明體" w:hAnsi="Times New Roman" w:cs="Times New Roman"/>
                <w:kern w:val="0"/>
                <w:sz w:val="22"/>
              </w:rPr>
            </w:pPr>
          </w:p>
        </w:tc>
      </w:tr>
      <w:tr w:rsidR="007F32A3" w:rsidRPr="007F32A3" w:rsidTr="000730E6">
        <w:trPr>
          <w:trHeight w:val="379"/>
        </w:trPr>
        <w:tc>
          <w:tcPr>
            <w:tcW w:w="1155" w:type="dxa"/>
            <w:gridSpan w:val="2"/>
            <w:tcBorders>
              <w:top w:val="nil"/>
              <w:left w:val="nil"/>
              <w:bottom w:val="nil"/>
              <w:right w:val="nil"/>
            </w:tcBorders>
            <w:shd w:val="clear" w:color="auto" w:fill="auto"/>
            <w:noWrap/>
            <w:vAlign w:val="center"/>
            <w:hideMark/>
          </w:tcPr>
          <w:p w:rsidR="005F2DF6" w:rsidRPr="007F32A3" w:rsidRDefault="005F2DF6" w:rsidP="000730E6">
            <w:pPr>
              <w:widowControl/>
              <w:ind w:leftChars="-15" w:left="-36" w:rightChars="-50" w:right="-120"/>
              <w:jc w:val="both"/>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COMPLEX</w:t>
            </w: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30.777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29.541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18.289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0.370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17.401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29.541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41.865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84.635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28.047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30.367 </w:t>
            </w: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-2.877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vertAlign w:val="superscript"/>
              </w:rPr>
              <w:t>***</w:t>
            </w:r>
          </w:p>
        </w:tc>
      </w:tr>
      <w:tr w:rsidR="007F32A3" w:rsidRPr="007F32A3" w:rsidTr="000730E6">
        <w:trPr>
          <w:trHeight w:val="379"/>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MB</w:t>
            </w: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both"/>
              <w:rPr>
                <w:rFonts w:ascii="Times New Roman" w:eastAsia="新細明體" w:hAnsi="Times New Roman" w:cs="Times New Roman"/>
                <w:b/>
                <w:bCs/>
                <w:kern w:val="0"/>
                <w:sz w:val="22"/>
              </w:rPr>
            </w:pP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1.741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1.320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1.391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0.460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0.880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1.320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2.053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8.830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1.370 </w:t>
            </w:r>
          </w:p>
        </w:tc>
        <w:tc>
          <w:tcPr>
            <w:tcW w:w="16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1.270 </w:t>
            </w:r>
          </w:p>
        </w:tc>
        <w:tc>
          <w:tcPr>
            <w:tcW w:w="142"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2.288 </w:t>
            </w:r>
          </w:p>
        </w:tc>
        <w:tc>
          <w:tcPr>
            <w:tcW w:w="282" w:type="dxa"/>
            <w:tcBorders>
              <w:top w:val="nil"/>
              <w:left w:val="nil"/>
              <w:bottom w:val="nil"/>
              <w:right w:val="nil"/>
            </w:tcBorders>
            <w:shd w:val="clear" w:color="auto" w:fill="auto"/>
            <w:noWrap/>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vertAlign w:val="superscript"/>
              </w:rPr>
              <w:t>**</w:t>
            </w:r>
          </w:p>
        </w:tc>
      </w:tr>
      <w:tr w:rsidR="007F32A3" w:rsidRPr="007F32A3" w:rsidTr="000730E6">
        <w:trPr>
          <w:trHeight w:val="379"/>
        </w:trPr>
        <w:tc>
          <w:tcPr>
            <w:tcW w:w="84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LOSS</w:t>
            </w:r>
          </w:p>
        </w:tc>
        <w:tc>
          <w:tcPr>
            <w:tcW w:w="313"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p>
        </w:tc>
        <w:tc>
          <w:tcPr>
            <w:tcW w:w="67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0.218 </w:t>
            </w:r>
          </w:p>
        </w:tc>
        <w:tc>
          <w:tcPr>
            <w:tcW w:w="723"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0.413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8"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709" w:type="dxa"/>
            <w:gridSpan w:val="2"/>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141" w:type="dxa"/>
            <w:gridSpan w:val="2"/>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168" w:type="dxa"/>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824"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142" w:type="dxa"/>
            <w:tcBorders>
              <w:top w:val="nil"/>
              <w:left w:val="nil"/>
              <w:bottom w:val="nil"/>
              <w:right w:val="nil"/>
            </w:tcBorders>
            <w:shd w:val="clear" w:color="auto" w:fill="auto"/>
            <w:noWrap/>
            <w:vAlign w:val="center"/>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p>
        </w:tc>
        <w:tc>
          <w:tcPr>
            <w:tcW w:w="709" w:type="dxa"/>
            <w:tcBorders>
              <w:top w:val="nil"/>
              <w:left w:val="nil"/>
              <w:bottom w:val="nil"/>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-0.564 </w:t>
            </w:r>
          </w:p>
        </w:tc>
        <w:tc>
          <w:tcPr>
            <w:tcW w:w="282" w:type="dxa"/>
            <w:tcBorders>
              <w:top w:val="nil"/>
              <w:left w:val="nil"/>
              <w:bottom w:val="nil"/>
              <w:right w:val="nil"/>
            </w:tcBorders>
            <w:shd w:val="clear" w:color="auto" w:fill="auto"/>
            <w:noWrap/>
            <w:vAlign w:val="center"/>
            <w:hideMark/>
          </w:tcPr>
          <w:p w:rsidR="005F2DF6" w:rsidRPr="007F32A3" w:rsidRDefault="005F2DF6" w:rsidP="005F2DF6">
            <w:pPr>
              <w:widowControl/>
              <w:ind w:leftChars="-15" w:left="-36" w:rightChars="-15" w:right="-36"/>
              <w:jc w:val="right"/>
              <w:rPr>
                <w:rFonts w:ascii="Times New Roman" w:eastAsia="新細明體" w:hAnsi="Times New Roman" w:cs="Times New Roman"/>
                <w:kern w:val="0"/>
                <w:sz w:val="22"/>
              </w:rPr>
            </w:pPr>
          </w:p>
        </w:tc>
      </w:tr>
      <w:tr w:rsidR="007F32A3" w:rsidRPr="007F32A3" w:rsidTr="000730E6">
        <w:trPr>
          <w:trHeight w:val="379"/>
        </w:trPr>
        <w:tc>
          <w:tcPr>
            <w:tcW w:w="842"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LEV</w:t>
            </w:r>
          </w:p>
        </w:tc>
        <w:tc>
          <w:tcPr>
            <w:tcW w:w="313" w:type="dxa"/>
            <w:tcBorders>
              <w:top w:val="nil"/>
              <w:left w:val="nil"/>
              <w:bottom w:val="single" w:sz="8" w:space="0" w:color="auto"/>
              <w:right w:val="nil"/>
            </w:tcBorders>
            <w:shd w:val="clear" w:color="auto" w:fill="auto"/>
            <w:noWrap/>
            <w:vAlign w:val="center"/>
            <w:hideMark/>
          </w:tcPr>
          <w:p w:rsidR="005F2DF6" w:rsidRPr="007F32A3" w:rsidRDefault="005F2DF6" w:rsidP="005F2DF6">
            <w:pPr>
              <w:widowControl/>
              <w:ind w:leftChars="-15" w:left="-36" w:rightChars="-15" w:right="-36"/>
              <w:jc w:val="center"/>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　</w:t>
            </w:r>
          </w:p>
        </w:tc>
        <w:tc>
          <w:tcPr>
            <w:tcW w:w="674"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40.451 </w:t>
            </w:r>
          </w:p>
        </w:tc>
        <w:tc>
          <w:tcPr>
            <w:tcW w:w="723"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39.790 </w:t>
            </w:r>
          </w:p>
        </w:tc>
        <w:tc>
          <w:tcPr>
            <w:tcW w:w="709"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18.051 </w:t>
            </w:r>
          </w:p>
        </w:tc>
        <w:tc>
          <w:tcPr>
            <w:tcW w:w="709"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5.000 </w:t>
            </w:r>
          </w:p>
        </w:tc>
        <w:tc>
          <w:tcPr>
            <w:tcW w:w="708"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26.453 </w:t>
            </w:r>
          </w:p>
        </w:tc>
        <w:tc>
          <w:tcPr>
            <w:tcW w:w="709"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39.790 </w:t>
            </w:r>
          </w:p>
        </w:tc>
        <w:tc>
          <w:tcPr>
            <w:tcW w:w="709"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53.290 </w:t>
            </w:r>
          </w:p>
        </w:tc>
        <w:tc>
          <w:tcPr>
            <w:tcW w:w="709" w:type="dxa"/>
            <w:gridSpan w:val="2"/>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82.850 </w:t>
            </w:r>
          </w:p>
        </w:tc>
        <w:tc>
          <w:tcPr>
            <w:tcW w:w="141" w:type="dxa"/>
            <w:gridSpan w:val="2"/>
            <w:tcBorders>
              <w:top w:val="nil"/>
              <w:left w:val="nil"/>
              <w:bottom w:val="single" w:sz="8" w:space="0" w:color="auto"/>
              <w:right w:val="nil"/>
            </w:tcBorders>
            <w:shd w:val="clear" w:color="auto" w:fill="auto"/>
            <w:noWrap/>
            <w:vAlign w:val="center"/>
            <w:hideMark/>
          </w:tcPr>
          <w:p w:rsidR="005F2DF6" w:rsidRPr="007F32A3" w:rsidRDefault="005F2DF6" w:rsidP="00EB2C7E">
            <w:pPr>
              <w:widowControl/>
              <w:ind w:leftChars="-15" w:left="-36" w:rightChars="-5" w:right="-12"/>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　</w:t>
            </w:r>
          </w:p>
        </w:tc>
        <w:tc>
          <w:tcPr>
            <w:tcW w:w="709"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38.230 </w:t>
            </w:r>
          </w:p>
        </w:tc>
        <w:tc>
          <w:tcPr>
            <w:tcW w:w="168"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　</w:t>
            </w:r>
          </w:p>
        </w:tc>
        <w:tc>
          <w:tcPr>
            <w:tcW w:w="824"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41.180 </w:t>
            </w:r>
          </w:p>
        </w:tc>
        <w:tc>
          <w:tcPr>
            <w:tcW w:w="142"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rPr>
              <w:t xml:space="preserve">　</w:t>
            </w:r>
          </w:p>
        </w:tc>
        <w:tc>
          <w:tcPr>
            <w:tcW w:w="709" w:type="dxa"/>
            <w:tcBorders>
              <w:top w:val="nil"/>
              <w:left w:val="nil"/>
              <w:bottom w:val="single" w:sz="8" w:space="0" w:color="auto"/>
              <w:right w:val="nil"/>
            </w:tcBorders>
            <w:shd w:val="clear" w:color="auto" w:fill="auto"/>
            <w:noWrap/>
            <w:hideMark/>
          </w:tcPr>
          <w:p w:rsidR="005F2DF6" w:rsidRPr="007F32A3" w:rsidRDefault="005F2DF6" w:rsidP="00EB2C7E">
            <w:pPr>
              <w:widowControl/>
              <w:ind w:leftChars="-15" w:left="-36" w:rightChars="-5" w:right="-12"/>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-2.671 </w:t>
            </w:r>
          </w:p>
        </w:tc>
        <w:tc>
          <w:tcPr>
            <w:tcW w:w="282" w:type="dxa"/>
            <w:tcBorders>
              <w:top w:val="nil"/>
              <w:left w:val="nil"/>
              <w:bottom w:val="single" w:sz="8" w:space="0" w:color="auto"/>
              <w:right w:val="nil"/>
            </w:tcBorders>
            <w:shd w:val="clear" w:color="auto" w:fill="auto"/>
            <w:noWrap/>
            <w:hideMark/>
          </w:tcPr>
          <w:p w:rsidR="005F2DF6" w:rsidRPr="007F32A3" w:rsidRDefault="005F2DF6" w:rsidP="005F2DF6">
            <w:pPr>
              <w:widowControl/>
              <w:ind w:leftChars="-15" w:left="-36" w:rightChars="-15" w:right="-36"/>
              <w:rPr>
                <w:rFonts w:ascii="Times New Roman" w:eastAsia="新細明體" w:hAnsi="Times New Roman" w:cs="Times New Roman"/>
                <w:b/>
                <w:bCs/>
                <w:kern w:val="0"/>
                <w:sz w:val="22"/>
              </w:rPr>
            </w:pPr>
            <w:r w:rsidRPr="007F32A3">
              <w:rPr>
                <w:rFonts w:ascii="Times New Roman" w:eastAsia="新細明體" w:hAnsi="Times New Roman" w:cs="Times New Roman"/>
                <w:b/>
                <w:bCs/>
                <w:kern w:val="0"/>
                <w:sz w:val="22"/>
                <w:vertAlign w:val="superscript"/>
              </w:rPr>
              <w:t>***</w:t>
            </w:r>
          </w:p>
        </w:tc>
      </w:tr>
    </w:tbl>
    <w:p w:rsidR="00591981" w:rsidRPr="007F32A3" w:rsidRDefault="00C825D1" w:rsidP="0098784F">
      <w:pPr>
        <w:pStyle w:val="body-paragraph4"/>
        <w:snapToGrid w:val="0"/>
        <w:spacing w:before="0" w:beforeAutospacing="0" w:after="0" w:afterAutospacing="0"/>
        <w:ind w:leftChars="-50" w:left="-120" w:firstLine="0"/>
        <w:jc w:val="both"/>
        <w:rPr>
          <w:rFonts w:ascii="Times New Roman" w:hAnsi="Times New Roman" w:cs="Times New Roman"/>
        </w:rPr>
      </w:pPr>
      <w:r w:rsidRPr="007F32A3">
        <w:rPr>
          <w:rFonts w:ascii="Times New Roman" w:eastAsia="標楷體" w:hAnsi="Times New Roman" w:cs="Times New Roman"/>
          <w:spacing w:val="-2"/>
          <w:sz w:val="20"/>
          <w:szCs w:val="20"/>
        </w:rPr>
        <w:t>The definition of variables are as follows.</w:t>
      </w:r>
      <w:r w:rsidR="0098784F" w:rsidRPr="007F32A3">
        <w:rPr>
          <w:rFonts w:ascii="Times New Roman" w:eastAsia="標楷體" w:hAnsi="Times New Roman" w:cs="Times New Roman"/>
          <w:spacing w:val="-2"/>
          <w:sz w:val="20"/>
          <w:szCs w:val="20"/>
        </w:rPr>
        <w:t xml:space="preserve"> KAMDQ is quality of KAM disclosure, which measured by a comprehensive index that captures the degree of the KAM disclosure content over a company for Hypothesis 2 (the detailed measurement method is discussed below). SPE is an indicator variable of industry specialist auditor which denote to 1 for a company that audited by an industry specialist auditor, and 0 otherwise. BIGN is an indicator variable of Big N which denote to 1 for a company that audited by a Big N firm, and 0 otherwise. CPATEN is audit tenure of the audit partners which is measure by the longer continuous audit years for a company between audit partners. CPAEXP is listed companies audit experience of the audit partners which is measure by the longer continuous audit years for a company between audit partners. SIZE is natural logarithm of the book value of total assets at year-end. CG is a corporate governance index that captures the degree of the corporate governance circumstances over a company. The index is constructed based on 6 corporate governance provisions, including board size, board share-holdings ratio, the percentage of shares pledged to board members, the ratio of independent directors and supervisors, the ratio of family-controlled directors and supervisors, and institutional holdings ratio, where a high CG index indicates stronger governance. Thus, we code firms 1 (for strong governance) if the appointing firm’s CG index is beyond the sample median, and 0 otherwise. COMPLEX is the operational complexity of audit clients, which measured by the ratio of accounts receivable and inventory to total assets. MB is market to book ratio. LOSS is indicator variable that denote to 1 for companies with negative income before extraordinary items. LEV is long-term debt divided by total assets.</w:t>
      </w:r>
      <w:r w:rsidR="0098784F" w:rsidRPr="007F32A3">
        <w:rPr>
          <w:rFonts w:ascii="Times New Roman" w:hAnsi="Times New Roman" w:cs="Times New Roman"/>
        </w:rPr>
        <w:t xml:space="preserve"> </w:t>
      </w:r>
    </w:p>
    <w:p w:rsidR="001137CE" w:rsidRPr="007F32A3" w:rsidRDefault="001137CE" w:rsidP="00591981">
      <w:pPr>
        <w:widowControl/>
        <w:jc w:val="center"/>
        <w:rPr>
          <w:rFonts w:ascii="Times New Roman" w:eastAsia="新細明體" w:hAnsi="Times New Roman" w:cs="Times New Roman"/>
          <w:b/>
          <w:bCs/>
          <w:kern w:val="0"/>
          <w:szCs w:val="24"/>
        </w:rPr>
        <w:sectPr w:rsidR="001137CE" w:rsidRPr="007F32A3" w:rsidSect="007B42E8">
          <w:footerReference w:type="default" r:id="rId16"/>
          <w:pgSz w:w="11906" w:h="16838" w:code="9"/>
          <w:pgMar w:top="1134" w:right="1134" w:bottom="1134" w:left="1134" w:header="851" w:footer="851" w:gutter="0"/>
          <w:cols w:space="425"/>
          <w:docGrid w:type="lines" w:linePitch="360"/>
        </w:sectPr>
      </w:pPr>
    </w:p>
    <w:tbl>
      <w:tblPr>
        <w:tblW w:w="0" w:type="auto"/>
        <w:jc w:val="center"/>
        <w:tblLayout w:type="fixed"/>
        <w:tblCellMar>
          <w:left w:w="28" w:type="dxa"/>
          <w:right w:w="28" w:type="dxa"/>
        </w:tblCellMar>
        <w:tblLook w:val="04A0" w:firstRow="1" w:lastRow="0" w:firstColumn="1" w:lastColumn="0" w:noHBand="0" w:noVBand="1"/>
      </w:tblPr>
      <w:tblGrid>
        <w:gridCol w:w="1040"/>
        <w:gridCol w:w="56"/>
        <w:gridCol w:w="755"/>
        <w:gridCol w:w="354"/>
        <w:gridCol w:w="804"/>
        <w:gridCol w:w="354"/>
        <w:gridCol w:w="804"/>
        <w:gridCol w:w="354"/>
        <w:gridCol w:w="804"/>
        <w:gridCol w:w="399"/>
        <w:gridCol w:w="804"/>
        <w:gridCol w:w="354"/>
        <w:gridCol w:w="804"/>
        <w:gridCol w:w="399"/>
        <w:gridCol w:w="804"/>
        <w:gridCol w:w="354"/>
        <w:gridCol w:w="804"/>
        <w:gridCol w:w="354"/>
        <w:gridCol w:w="836"/>
        <w:gridCol w:w="369"/>
        <w:gridCol w:w="804"/>
        <w:gridCol w:w="354"/>
        <w:gridCol w:w="739"/>
        <w:gridCol w:w="328"/>
        <w:gridCol w:w="739"/>
      </w:tblGrid>
      <w:tr w:rsidR="007F32A3" w:rsidRPr="007F32A3" w:rsidTr="001137CE">
        <w:trPr>
          <w:trHeight w:val="336"/>
          <w:jc w:val="center"/>
        </w:trPr>
        <w:tc>
          <w:tcPr>
            <w:tcW w:w="14570" w:type="dxa"/>
            <w:gridSpan w:val="25"/>
            <w:tcBorders>
              <w:top w:val="nil"/>
              <w:left w:val="nil"/>
              <w:bottom w:val="single" w:sz="12" w:space="0" w:color="auto"/>
              <w:right w:val="nil"/>
            </w:tcBorders>
            <w:shd w:val="clear" w:color="auto" w:fill="auto"/>
            <w:noWrap/>
            <w:vAlign w:val="center"/>
            <w:hideMark/>
          </w:tcPr>
          <w:p w:rsidR="00591981" w:rsidRPr="007F32A3" w:rsidRDefault="00591981" w:rsidP="00591981">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lastRenderedPageBreak/>
              <w:t>Table 3 Spearman Correlations</w:t>
            </w:r>
          </w:p>
        </w:tc>
      </w:tr>
      <w:tr w:rsidR="007F32A3" w:rsidRPr="007F32A3" w:rsidTr="001137CE">
        <w:trPr>
          <w:trHeight w:val="312"/>
          <w:jc w:val="center"/>
        </w:trPr>
        <w:tc>
          <w:tcPr>
            <w:tcW w:w="1040" w:type="dxa"/>
            <w:tcBorders>
              <w:top w:val="nil"/>
              <w:left w:val="nil"/>
              <w:bottom w:val="nil"/>
              <w:right w:val="nil"/>
            </w:tcBorders>
            <w:shd w:val="clear" w:color="auto" w:fill="auto"/>
            <w:noWrap/>
            <w:vAlign w:val="center"/>
            <w:hideMark/>
          </w:tcPr>
          <w:p w:rsidR="001137CE" w:rsidRPr="007F32A3" w:rsidRDefault="001137CE" w:rsidP="001137CE">
            <w:pPr>
              <w:widowControl/>
              <w:ind w:leftChars="-5" w:left="-12" w:rightChars="-10" w:right="-24"/>
              <w:jc w:val="center"/>
              <w:rPr>
                <w:rFonts w:ascii="Times New Roman" w:eastAsia="新細明體" w:hAnsi="Times New Roman" w:cs="Times New Roman"/>
                <w:b/>
                <w:bCs/>
                <w:kern w:val="0"/>
                <w:sz w:val="22"/>
              </w:rPr>
            </w:pPr>
          </w:p>
        </w:tc>
        <w:tc>
          <w:tcPr>
            <w:tcW w:w="1165" w:type="dxa"/>
            <w:gridSpan w:val="3"/>
            <w:tcBorders>
              <w:top w:val="nil"/>
              <w:left w:val="nil"/>
              <w:bottom w:val="single" w:sz="4" w:space="0" w:color="auto"/>
              <w:right w:val="nil"/>
            </w:tcBorders>
            <w:shd w:val="clear" w:color="auto" w:fill="auto"/>
            <w:vAlign w:val="bottom"/>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HQKAM</w:t>
            </w:r>
          </w:p>
        </w:tc>
        <w:tc>
          <w:tcPr>
            <w:tcW w:w="1158" w:type="dxa"/>
            <w:gridSpan w:val="2"/>
            <w:tcBorders>
              <w:top w:val="nil"/>
              <w:left w:val="nil"/>
              <w:bottom w:val="single" w:sz="4" w:space="0" w:color="auto"/>
              <w:right w:val="nil"/>
            </w:tcBorders>
            <w:shd w:val="clear" w:color="auto" w:fill="auto"/>
            <w:vAlign w:val="bottom"/>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KAM</w:t>
            </w:r>
          </w:p>
        </w:tc>
        <w:tc>
          <w:tcPr>
            <w:tcW w:w="1158" w:type="dxa"/>
            <w:gridSpan w:val="2"/>
            <w:tcBorders>
              <w:top w:val="nil"/>
              <w:left w:val="nil"/>
              <w:bottom w:val="single" w:sz="4" w:space="0" w:color="auto"/>
              <w:right w:val="nil"/>
            </w:tcBorders>
            <w:shd w:val="clear" w:color="auto" w:fill="auto"/>
            <w:vAlign w:val="bottom"/>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SPE</w:t>
            </w:r>
          </w:p>
        </w:tc>
        <w:tc>
          <w:tcPr>
            <w:tcW w:w="1203" w:type="dxa"/>
            <w:gridSpan w:val="2"/>
            <w:tcBorders>
              <w:top w:val="nil"/>
              <w:left w:val="nil"/>
              <w:bottom w:val="single" w:sz="4" w:space="0" w:color="auto"/>
              <w:right w:val="nil"/>
            </w:tcBorders>
            <w:shd w:val="clear" w:color="auto" w:fill="auto"/>
            <w:vAlign w:val="bottom"/>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BIGN</w:t>
            </w:r>
          </w:p>
        </w:tc>
        <w:tc>
          <w:tcPr>
            <w:tcW w:w="1158" w:type="dxa"/>
            <w:gridSpan w:val="2"/>
            <w:tcBorders>
              <w:top w:val="nil"/>
              <w:left w:val="nil"/>
              <w:bottom w:val="single" w:sz="4" w:space="0" w:color="auto"/>
              <w:right w:val="nil"/>
            </w:tcBorders>
            <w:shd w:val="clear" w:color="auto" w:fill="auto"/>
            <w:vAlign w:val="bottom"/>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CPATEN</w:t>
            </w:r>
          </w:p>
        </w:tc>
        <w:tc>
          <w:tcPr>
            <w:tcW w:w="1203" w:type="dxa"/>
            <w:gridSpan w:val="2"/>
            <w:tcBorders>
              <w:top w:val="nil"/>
              <w:left w:val="nil"/>
              <w:bottom w:val="single" w:sz="4" w:space="0" w:color="auto"/>
              <w:right w:val="nil"/>
            </w:tcBorders>
            <w:shd w:val="clear" w:color="auto" w:fill="auto"/>
            <w:vAlign w:val="bottom"/>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CPAEXP</w:t>
            </w:r>
          </w:p>
        </w:tc>
        <w:tc>
          <w:tcPr>
            <w:tcW w:w="1158" w:type="dxa"/>
            <w:gridSpan w:val="2"/>
            <w:tcBorders>
              <w:top w:val="nil"/>
              <w:left w:val="nil"/>
              <w:bottom w:val="single" w:sz="4" w:space="0" w:color="auto"/>
              <w:right w:val="nil"/>
            </w:tcBorders>
            <w:shd w:val="clear" w:color="auto" w:fill="auto"/>
            <w:noWrap/>
            <w:vAlign w:val="center"/>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SIZE</w:t>
            </w:r>
          </w:p>
        </w:tc>
        <w:tc>
          <w:tcPr>
            <w:tcW w:w="1158" w:type="dxa"/>
            <w:gridSpan w:val="2"/>
            <w:tcBorders>
              <w:top w:val="nil"/>
              <w:left w:val="nil"/>
              <w:bottom w:val="single" w:sz="4" w:space="0" w:color="auto"/>
              <w:right w:val="nil"/>
            </w:tcBorders>
            <w:shd w:val="clear" w:color="auto" w:fill="auto"/>
            <w:noWrap/>
            <w:vAlign w:val="center"/>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CG</w:t>
            </w:r>
          </w:p>
        </w:tc>
        <w:tc>
          <w:tcPr>
            <w:tcW w:w="1205" w:type="dxa"/>
            <w:gridSpan w:val="2"/>
            <w:tcBorders>
              <w:top w:val="nil"/>
              <w:left w:val="nil"/>
              <w:bottom w:val="single" w:sz="4" w:space="0" w:color="auto"/>
              <w:right w:val="nil"/>
            </w:tcBorders>
            <w:shd w:val="clear" w:color="auto" w:fill="auto"/>
            <w:noWrap/>
            <w:vAlign w:val="center"/>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COMPLEX</w:t>
            </w:r>
          </w:p>
        </w:tc>
        <w:tc>
          <w:tcPr>
            <w:tcW w:w="1158" w:type="dxa"/>
            <w:gridSpan w:val="2"/>
            <w:tcBorders>
              <w:top w:val="nil"/>
              <w:left w:val="nil"/>
              <w:bottom w:val="single" w:sz="4" w:space="0" w:color="auto"/>
              <w:right w:val="nil"/>
            </w:tcBorders>
            <w:shd w:val="clear" w:color="auto" w:fill="auto"/>
            <w:noWrap/>
            <w:vAlign w:val="center"/>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MB</w:t>
            </w:r>
          </w:p>
        </w:tc>
        <w:tc>
          <w:tcPr>
            <w:tcW w:w="1067" w:type="dxa"/>
            <w:gridSpan w:val="2"/>
            <w:tcBorders>
              <w:top w:val="nil"/>
              <w:left w:val="nil"/>
              <w:bottom w:val="single" w:sz="4" w:space="0" w:color="auto"/>
              <w:right w:val="nil"/>
            </w:tcBorders>
            <w:shd w:val="clear" w:color="auto" w:fill="auto"/>
            <w:noWrap/>
            <w:vAlign w:val="center"/>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LOSS</w:t>
            </w:r>
          </w:p>
        </w:tc>
        <w:tc>
          <w:tcPr>
            <w:tcW w:w="739" w:type="dxa"/>
            <w:tcBorders>
              <w:top w:val="nil"/>
              <w:left w:val="nil"/>
              <w:bottom w:val="single" w:sz="4" w:space="0" w:color="auto"/>
              <w:right w:val="nil"/>
            </w:tcBorders>
            <w:shd w:val="clear" w:color="auto" w:fill="auto"/>
            <w:noWrap/>
            <w:vAlign w:val="center"/>
            <w:hideMark/>
          </w:tcPr>
          <w:p w:rsidR="001137CE" w:rsidRPr="007F32A3" w:rsidRDefault="001137CE" w:rsidP="001137CE">
            <w:pPr>
              <w:widowControl/>
              <w:ind w:leftChars="-5" w:left="-12" w:rightChars="-10" w:right="-24"/>
              <w:jc w:val="center"/>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LEV</w:t>
            </w: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50" w:right="-120"/>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HQKAM</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KAM</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0.893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SPE</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0.052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0.071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BIGN</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-0.046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-0.046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0.059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50" w:right="-120"/>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CPATEN</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-0.007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-0.026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0.118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CPAEXP</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0.006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-0.009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0.089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0.032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0.105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SIZE</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-0.004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-0.010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0.220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0.106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0.084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0.128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 xml:space="preserve">CG </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0.031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0.024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0.022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0.106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0.048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-0.013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-0.044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96" w:type="dxa"/>
            <w:gridSpan w:val="2"/>
            <w:tcBorders>
              <w:top w:val="nil"/>
              <w:left w:val="nil"/>
              <w:bottom w:val="nil"/>
              <w:right w:val="nil"/>
            </w:tcBorders>
            <w:shd w:val="clear" w:color="auto" w:fill="auto"/>
            <w:hideMark/>
          </w:tcPr>
          <w:p w:rsidR="00591981" w:rsidRPr="007F32A3" w:rsidRDefault="00591981" w:rsidP="001137CE">
            <w:pPr>
              <w:widowControl/>
              <w:ind w:leftChars="-5" w:left="-12" w:rightChars="-50" w:right="-120"/>
              <w:rPr>
                <w:rFonts w:ascii="Times New Roman" w:eastAsia="新細明體" w:hAnsi="Times New Roman" w:cs="Times New Roman"/>
                <w:b/>
                <w:kern w:val="0"/>
                <w:sz w:val="21"/>
                <w:szCs w:val="21"/>
              </w:rPr>
            </w:pPr>
            <w:r w:rsidRPr="007F32A3">
              <w:rPr>
                <w:rFonts w:ascii="Times New Roman" w:eastAsia="新細明體" w:hAnsi="Times New Roman" w:cs="Times New Roman"/>
                <w:b/>
                <w:kern w:val="0"/>
                <w:sz w:val="21"/>
                <w:szCs w:val="21"/>
              </w:rPr>
              <w:t>COMPLEX</w:t>
            </w:r>
          </w:p>
        </w:tc>
        <w:tc>
          <w:tcPr>
            <w:tcW w:w="755"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-0.073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-0.081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-0.029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0.031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-0.007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0.046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0.001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MB</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0.058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0.066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0.030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0.052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-0.059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-0.020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-0.191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0.216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-0.084 </w:t>
            </w: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06"/>
          <w:jc w:val="center"/>
        </w:trPr>
        <w:tc>
          <w:tcPr>
            <w:tcW w:w="1040" w:type="dxa"/>
            <w:tcBorders>
              <w:top w:val="nil"/>
              <w:left w:val="nil"/>
              <w:bottom w:val="nil"/>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LOSS</w:t>
            </w:r>
          </w:p>
        </w:tc>
        <w:tc>
          <w:tcPr>
            <w:tcW w:w="811" w:type="dxa"/>
            <w:gridSpan w:val="2"/>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-0.014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50" w:right="-120"/>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-0.013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-0.036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vertAlign w:val="superscript"/>
              </w:rPr>
            </w:pP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-0.060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-0.044 </w:t>
            </w:r>
          </w:p>
        </w:tc>
        <w:tc>
          <w:tcPr>
            <w:tcW w:w="35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-0.038 </w:t>
            </w:r>
          </w:p>
        </w:tc>
        <w:tc>
          <w:tcPr>
            <w:tcW w:w="399" w:type="dxa"/>
            <w:tcBorders>
              <w:top w:val="nil"/>
              <w:left w:val="nil"/>
              <w:bottom w:val="nil"/>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-0.215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-0.102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36"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-0.202 </w:t>
            </w:r>
          </w:p>
        </w:tc>
        <w:tc>
          <w:tcPr>
            <w:tcW w:w="36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-0.107 </w:t>
            </w:r>
          </w:p>
        </w:tc>
        <w:tc>
          <w:tcPr>
            <w:tcW w:w="354"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c>
          <w:tcPr>
            <w:tcW w:w="328"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p>
        </w:tc>
        <w:tc>
          <w:tcPr>
            <w:tcW w:w="739" w:type="dxa"/>
            <w:tcBorders>
              <w:top w:val="nil"/>
              <w:left w:val="nil"/>
              <w:bottom w:val="nil"/>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Times New Roman" w:hAnsi="Times New Roman" w:cs="Times New Roman"/>
                <w:kern w:val="0"/>
                <w:sz w:val="22"/>
              </w:rPr>
            </w:pPr>
          </w:p>
        </w:tc>
      </w:tr>
      <w:tr w:rsidR="007F32A3" w:rsidRPr="007F32A3" w:rsidTr="001137CE">
        <w:trPr>
          <w:trHeight w:val="312"/>
          <w:jc w:val="center"/>
        </w:trPr>
        <w:tc>
          <w:tcPr>
            <w:tcW w:w="1040" w:type="dxa"/>
            <w:tcBorders>
              <w:top w:val="nil"/>
              <w:left w:val="nil"/>
              <w:bottom w:val="single" w:sz="12" w:space="0" w:color="auto"/>
              <w:right w:val="nil"/>
            </w:tcBorders>
            <w:shd w:val="clear" w:color="auto" w:fill="auto"/>
            <w:hideMark/>
          </w:tcPr>
          <w:p w:rsidR="00591981" w:rsidRPr="007F32A3" w:rsidRDefault="00591981" w:rsidP="001137CE">
            <w:pPr>
              <w:widowControl/>
              <w:ind w:leftChars="-5" w:left="-12" w:rightChars="-10" w:right="-24"/>
              <w:rPr>
                <w:rFonts w:ascii="Times New Roman" w:eastAsia="新細明體" w:hAnsi="Times New Roman" w:cs="Times New Roman"/>
                <w:b/>
                <w:kern w:val="0"/>
                <w:sz w:val="22"/>
              </w:rPr>
            </w:pPr>
            <w:r w:rsidRPr="007F32A3">
              <w:rPr>
                <w:rFonts w:ascii="Times New Roman" w:eastAsia="新細明體" w:hAnsi="Times New Roman" w:cs="Times New Roman"/>
                <w:b/>
                <w:kern w:val="0"/>
                <w:sz w:val="22"/>
              </w:rPr>
              <w:t>LEV</w:t>
            </w:r>
          </w:p>
        </w:tc>
        <w:tc>
          <w:tcPr>
            <w:tcW w:w="811" w:type="dxa"/>
            <w:gridSpan w:val="2"/>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-0.068 </w:t>
            </w:r>
          </w:p>
        </w:tc>
        <w:tc>
          <w:tcPr>
            <w:tcW w:w="35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50" w:right="-120"/>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-0.087 </w:t>
            </w:r>
          </w:p>
        </w:tc>
        <w:tc>
          <w:tcPr>
            <w:tcW w:w="35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0.094 </w:t>
            </w:r>
          </w:p>
        </w:tc>
        <w:tc>
          <w:tcPr>
            <w:tcW w:w="35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-0.032 </w:t>
            </w:r>
          </w:p>
        </w:tc>
        <w:tc>
          <w:tcPr>
            <w:tcW w:w="399"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　</w:t>
            </w:r>
          </w:p>
        </w:tc>
        <w:tc>
          <w:tcPr>
            <w:tcW w:w="80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-0.025 </w:t>
            </w:r>
          </w:p>
        </w:tc>
        <w:tc>
          <w:tcPr>
            <w:tcW w:w="35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 xml:space="preserve">　</w:t>
            </w:r>
          </w:p>
        </w:tc>
        <w:tc>
          <w:tcPr>
            <w:tcW w:w="804"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0.023 </w:t>
            </w:r>
          </w:p>
        </w:tc>
        <w:tc>
          <w:tcPr>
            <w:tcW w:w="399" w:type="dxa"/>
            <w:tcBorders>
              <w:top w:val="nil"/>
              <w:left w:val="nil"/>
              <w:bottom w:val="single" w:sz="12" w:space="0" w:color="auto"/>
              <w:right w:val="nil"/>
            </w:tcBorders>
            <w:shd w:val="clear" w:color="auto" w:fill="auto"/>
            <w:noWrap/>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　</w:t>
            </w:r>
          </w:p>
        </w:tc>
        <w:tc>
          <w:tcPr>
            <w:tcW w:w="804"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0.337 </w:t>
            </w:r>
          </w:p>
        </w:tc>
        <w:tc>
          <w:tcPr>
            <w:tcW w:w="354"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-0.093 </w:t>
            </w:r>
          </w:p>
        </w:tc>
        <w:tc>
          <w:tcPr>
            <w:tcW w:w="354"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36"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0.302 </w:t>
            </w:r>
          </w:p>
        </w:tc>
        <w:tc>
          <w:tcPr>
            <w:tcW w:w="369"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804"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-0.058 </w:t>
            </w:r>
          </w:p>
        </w:tc>
        <w:tc>
          <w:tcPr>
            <w:tcW w:w="354"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vertAlign w:val="superscript"/>
              </w:rPr>
            </w:pPr>
            <w:r w:rsidRPr="007F32A3">
              <w:rPr>
                <w:rFonts w:ascii="Times New Roman" w:eastAsia="新細明體" w:hAnsi="Times New Roman" w:cs="Times New Roman"/>
                <w:kern w:val="0"/>
                <w:sz w:val="22"/>
                <w:vertAlign w:val="superscript"/>
              </w:rPr>
              <w:t>**</w:t>
            </w:r>
          </w:p>
        </w:tc>
        <w:tc>
          <w:tcPr>
            <w:tcW w:w="739"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0.061 </w:t>
            </w:r>
          </w:p>
        </w:tc>
        <w:tc>
          <w:tcPr>
            <w:tcW w:w="328"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rPr>
                <w:rFonts w:ascii="Times New Roman" w:eastAsia="新細明體" w:hAnsi="Times New Roman" w:cs="Times New Roman"/>
                <w:kern w:val="0"/>
                <w:sz w:val="22"/>
              </w:rPr>
            </w:pPr>
            <w:r w:rsidRPr="007F32A3">
              <w:rPr>
                <w:rFonts w:ascii="Times New Roman" w:eastAsia="新細明體" w:hAnsi="Times New Roman" w:cs="Times New Roman"/>
                <w:kern w:val="0"/>
                <w:sz w:val="22"/>
                <w:vertAlign w:val="superscript"/>
              </w:rPr>
              <w:t>**</w:t>
            </w:r>
          </w:p>
        </w:tc>
        <w:tc>
          <w:tcPr>
            <w:tcW w:w="739" w:type="dxa"/>
            <w:tcBorders>
              <w:top w:val="nil"/>
              <w:left w:val="nil"/>
              <w:bottom w:val="single" w:sz="12" w:space="0" w:color="auto"/>
              <w:right w:val="nil"/>
            </w:tcBorders>
            <w:shd w:val="clear" w:color="auto" w:fill="auto"/>
            <w:noWrap/>
            <w:vAlign w:val="center"/>
            <w:hideMark/>
          </w:tcPr>
          <w:p w:rsidR="00591981" w:rsidRPr="007F32A3" w:rsidRDefault="00591981" w:rsidP="001137CE">
            <w:pPr>
              <w:widowControl/>
              <w:ind w:leftChars="-5" w:left="-12" w:rightChars="-10" w:right="-24"/>
              <w:jc w:val="right"/>
              <w:rPr>
                <w:rFonts w:ascii="Times New Roman" w:eastAsia="新細明體" w:hAnsi="Times New Roman" w:cs="Times New Roman"/>
                <w:kern w:val="0"/>
                <w:sz w:val="22"/>
              </w:rPr>
            </w:pPr>
            <w:r w:rsidRPr="007F32A3">
              <w:rPr>
                <w:rFonts w:ascii="Times New Roman" w:eastAsia="新細明體" w:hAnsi="Times New Roman" w:cs="Times New Roman"/>
                <w:kern w:val="0"/>
                <w:sz w:val="22"/>
              </w:rPr>
              <w:t xml:space="preserve">1.000 </w:t>
            </w:r>
          </w:p>
        </w:tc>
      </w:tr>
    </w:tbl>
    <w:p w:rsidR="00C825D1" w:rsidRPr="007F32A3" w:rsidRDefault="00C825D1" w:rsidP="00C825D1">
      <w:pPr>
        <w:pStyle w:val="a3"/>
        <w:tabs>
          <w:tab w:val="left" w:pos="212"/>
        </w:tabs>
        <w:adjustRightInd w:val="0"/>
        <w:rPr>
          <w:rFonts w:eastAsia="標楷體"/>
          <w:sz w:val="18"/>
          <w:szCs w:val="18"/>
        </w:rPr>
      </w:pPr>
      <w:r w:rsidRPr="007F32A3">
        <w:rPr>
          <w:rFonts w:eastAsia="標楷體"/>
          <w:sz w:val="18"/>
          <w:szCs w:val="18"/>
        </w:rPr>
        <w:t>1.</w:t>
      </w:r>
      <w:r w:rsidRPr="007F32A3">
        <w:rPr>
          <w:rFonts w:eastAsia="標楷體"/>
          <w:sz w:val="18"/>
          <w:szCs w:val="18"/>
        </w:rPr>
        <w:tab/>
        <w:t>Variable definitions are the same as that in Table 2.</w:t>
      </w:r>
    </w:p>
    <w:p w:rsidR="00C825D1" w:rsidRPr="007F32A3" w:rsidRDefault="00C825D1" w:rsidP="00C825D1">
      <w:pPr>
        <w:pStyle w:val="a3"/>
        <w:tabs>
          <w:tab w:val="left" w:pos="212"/>
        </w:tabs>
        <w:adjustRightInd w:val="0"/>
        <w:rPr>
          <w:rFonts w:eastAsia="標楷體"/>
          <w:sz w:val="18"/>
          <w:szCs w:val="18"/>
        </w:rPr>
      </w:pPr>
      <w:r w:rsidRPr="007F32A3">
        <w:rPr>
          <w:rFonts w:eastAsia="標楷體"/>
          <w:sz w:val="18"/>
          <w:szCs w:val="18"/>
        </w:rPr>
        <w:t>2.</w:t>
      </w:r>
      <w:r w:rsidRPr="007F32A3">
        <w:rPr>
          <w:rFonts w:eastAsia="標楷體"/>
          <w:sz w:val="18"/>
          <w:szCs w:val="18"/>
        </w:rPr>
        <w:tab/>
      </w:r>
      <w:r w:rsidRPr="007F32A3">
        <w:rPr>
          <w:rFonts w:eastAsia="標楷體"/>
          <w:i/>
          <w:sz w:val="18"/>
          <w:szCs w:val="18"/>
        </w:rPr>
        <w:t>p</w:t>
      </w:r>
      <w:r w:rsidRPr="007F32A3">
        <w:rPr>
          <w:rFonts w:eastAsia="標楷體"/>
          <w:sz w:val="18"/>
          <w:szCs w:val="18"/>
        </w:rPr>
        <w:t xml:space="preserve">-values in parentheses </w:t>
      </w:r>
      <w:r w:rsidRPr="007F32A3">
        <w:rPr>
          <w:rFonts w:eastAsia="標楷體"/>
          <w:sz w:val="18"/>
          <w:szCs w:val="18"/>
          <w:vertAlign w:val="superscript"/>
        </w:rPr>
        <w:t>*</w:t>
      </w:r>
      <w:r w:rsidRPr="007F32A3">
        <w:rPr>
          <w:rFonts w:eastAsia="標楷體"/>
          <w:sz w:val="18"/>
          <w:szCs w:val="18"/>
        </w:rPr>
        <w:t xml:space="preserve"> p&lt;0.1, </w:t>
      </w:r>
      <w:r w:rsidRPr="007F32A3">
        <w:rPr>
          <w:rFonts w:eastAsia="標楷體"/>
          <w:sz w:val="18"/>
          <w:szCs w:val="18"/>
          <w:vertAlign w:val="superscript"/>
        </w:rPr>
        <w:t>**</w:t>
      </w:r>
      <w:r w:rsidRPr="007F32A3">
        <w:rPr>
          <w:rFonts w:eastAsia="標楷體"/>
          <w:sz w:val="18"/>
          <w:szCs w:val="18"/>
        </w:rPr>
        <w:t xml:space="preserve"> p&lt;0.05, </w:t>
      </w:r>
      <w:r w:rsidRPr="007F32A3">
        <w:rPr>
          <w:rFonts w:eastAsia="標楷體"/>
          <w:sz w:val="18"/>
          <w:szCs w:val="18"/>
          <w:vertAlign w:val="superscript"/>
        </w:rPr>
        <w:t>***</w:t>
      </w:r>
      <w:r w:rsidRPr="007F32A3">
        <w:rPr>
          <w:rFonts w:eastAsia="標楷體"/>
          <w:sz w:val="18"/>
          <w:szCs w:val="18"/>
        </w:rPr>
        <w:t xml:space="preserve"> p&lt;0.01.</w:t>
      </w:r>
    </w:p>
    <w:p w:rsidR="001137CE" w:rsidRPr="007F32A3" w:rsidRDefault="001137CE" w:rsidP="00C825D1">
      <w:pPr>
        <w:rPr>
          <w:rFonts w:ascii="Times New Roman" w:hAnsi="Times New Roman" w:cs="Times New Roman"/>
        </w:rPr>
      </w:pPr>
    </w:p>
    <w:p w:rsidR="007158F9" w:rsidRPr="007F32A3" w:rsidRDefault="007158F9" w:rsidP="00C825D1">
      <w:pPr>
        <w:rPr>
          <w:rFonts w:ascii="Times New Roman" w:hAnsi="Times New Roman" w:cs="Times New Roman"/>
        </w:rPr>
      </w:pPr>
    </w:p>
    <w:p w:rsidR="007158F9" w:rsidRPr="007F32A3" w:rsidRDefault="007158F9" w:rsidP="00C825D1">
      <w:pPr>
        <w:rPr>
          <w:rFonts w:ascii="Times New Roman" w:hAnsi="Times New Roman" w:cs="Times New Roman"/>
        </w:rPr>
        <w:sectPr w:rsidR="007158F9" w:rsidRPr="007F32A3" w:rsidSect="001137CE">
          <w:pgSz w:w="16838" w:h="11906" w:orient="landscape"/>
          <w:pgMar w:top="1134" w:right="1134" w:bottom="1134" w:left="1134" w:header="851" w:footer="992" w:gutter="0"/>
          <w:cols w:space="425"/>
          <w:docGrid w:type="linesAndChars" w:linePitch="360"/>
        </w:sectPr>
      </w:pPr>
    </w:p>
    <w:tbl>
      <w:tblPr>
        <w:tblW w:w="5000" w:type="pct"/>
        <w:tblCellMar>
          <w:left w:w="28" w:type="dxa"/>
          <w:right w:w="28" w:type="dxa"/>
        </w:tblCellMar>
        <w:tblLook w:val="04A0" w:firstRow="1" w:lastRow="0" w:firstColumn="1" w:lastColumn="0" w:noHBand="0" w:noVBand="1"/>
      </w:tblPr>
      <w:tblGrid>
        <w:gridCol w:w="2697"/>
        <w:gridCol w:w="707"/>
        <w:gridCol w:w="1698"/>
        <w:gridCol w:w="856"/>
        <w:gridCol w:w="281"/>
        <w:gridCol w:w="1984"/>
        <w:gridCol w:w="1072"/>
        <w:gridCol w:w="343"/>
      </w:tblGrid>
      <w:tr w:rsidR="007F32A3" w:rsidRPr="007F32A3" w:rsidTr="0002186D">
        <w:trPr>
          <w:trHeight w:val="336"/>
        </w:trPr>
        <w:tc>
          <w:tcPr>
            <w:tcW w:w="5000" w:type="pct"/>
            <w:gridSpan w:val="8"/>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lastRenderedPageBreak/>
              <w:t>Table 4 Full Sample Regression Results</w:t>
            </w:r>
          </w:p>
          <w:p w:rsidR="007158F9" w:rsidRPr="007F32A3" w:rsidRDefault="007158F9" w:rsidP="007158F9">
            <w:pPr>
              <w:spacing w:beforeLines="50" w:before="180"/>
              <w:jc w:val="center"/>
              <w:rPr>
                <w:rFonts w:ascii="Times New Roman" w:hAnsi="Times New Roman" w:cs="Times New Roman"/>
                <w:kern w:val="0"/>
                <w:szCs w:val="24"/>
              </w:rPr>
            </w:pPr>
            <w:r w:rsidRPr="007F32A3">
              <w:rPr>
                <w:rFonts w:ascii="Times New Roman" w:hAnsi="Times New Roman" w:cs="Times New Roman"/>
                <w:kern w:val="0"/>
                <w:position w:val="-12"/>
                <w:szCs w:val="24"/>
              </w:rPr>
              <w:object w:dxaOrig="7820" w:dyaOrig="360">
                <v:shape id="_x0000_i1029" type="#_x0000_t75" style="width:372.35pt;height:17.25pt" o:ole="">
                  <v:imagedata r:id="rId10" o:title=""/>
                </v:shape>
                <o:OLEObject Type="Embed" ProgID="Equation.3" ShapeID="_x0000_i1029" DrawAspect="Content" ObjectID="_1684838678" r:id="rId17"/>
              </w:object>
            </w:r>
          </w:p>
          <w:p w:rsidR="007158F9" w:rsidRPr="007F32A3" w:rsidRDefault="007158F9" w:rsidP="00F47F60">
            <w:pPr>
              <w:widowControl/>
              <w:jc w:val="center"/>
              <w:rPr>
                <w:rFonts w:ascii="Times New Roman" w:eastAsia="新細明體" w:hAnsi="Times New Roman" w:cs="Times New Roman"/>
                <w:b/>
                <w:bCs/>
                <w:kern w:val="0"/>
                <w:szCs w:val="24"/>
              </w:rPr>
            </w:pPr>
            <w:r w:rsidRPr="007F32A3">
              <w:rPr>
                <w:rFonts w:ascii="Times New Roman" w:hAnsi="Times New Roman" w:cs="Times New Roman"/>
                <w:kern w:val="0"/>
                <w:szCs w:val="24"/>
              </w:rPr>
              <w:t xml:space="preserve">　　</w:t>
            </w:r>
            <w:r w:rsidRPr="007F32A3">
              <w:rPr>
                <w:rFonts w:ascii="Times New Roman" w:hAnsi="Times New Roman" w:cs="Times New Roman"/>
                <w:kern w:val="0"/>
                <w:position w:val="-12"/>
                <w:szCs w:val="24"/>
              </w:rPr>
              <w:object w:dxaOrig="6759" w:dyaOrig="360">
                <v:shape id="_x0000_i1030" type="#_x0000_t75" style="width:331.75pt;height:18.1pt" o:ole="">
                  <v:imagedata r:id="rId12" o:title=""/>
                </v:shape>
                <o:OLEObject Type="Embed" ProgID="Equation.3" ShapeID="_x0000_i1030" DrawAspect="Content" ObjectID="_1684838679" r:id="rId18"/>
              </w:object>
            </w:r>
            <w:r w:rsidRPr="007F32A3">
              <w:rPr>
                <w:rFonts w:ascii="Times New Roman" w:hAnsi="Times New Roman" w:cs="Times New Roman"/>
                <w:kern w:val="0"/>
                <w:szCs w:val="24"/>
              </w:rPr>
              <w:t xml:space="preserve">  </w:t>
            </w:r>
            <w:r w:rsidRPr="007F32A3">
              <w:rPr>
                <w:rFonts w:ascii="Times New Roman" w:eastAsia="標楷體" w:hAnsi="Times New Roman" w:cs="Times New Roman"/>
                <w:kern w:val="0"/>
                <w:szCs w:val="24"/>
              </w:rPr>
              <w:t>… (2)</w:t>
            </w:r>
          </w:p>
        </w:tc>
      </w:tr>
      <w:tr w:rsidR="007F32A3" w:rsidRPr="007F32A3" w:rsidTr="009B0291">
        <w:trPr>
          <w:trHeight w:val="312"/>
        </w:trPr>
        <w:tc>
          <w:tcPr>
            <w:tcW w:w="1399" w:type="pct"/>
            <w:tcBorders>
              <w:top w:val="nil"/>
              <w:left w:val="nil"/>
              <w:bottom w:val="nil"/>
              <w:right w:val="nil"/>
            </w:tcBorders>
            <w:shd w:val="clear" w:color="auto" w:fill="auto"/>
            <w:vAlign w:val="center"/>
            <w:hideMark/>
          </w:tcPr>
          <w:p w:rsidR="0002186D" w:rsidRPr="007F32A3" w:rsidRDefault="0002186D" w:rsidP="0002186D">
            <w:pPr>
              <w:widowControl/>
              <w:jc w:val="center"/>
              <w:rPr>
                <w:rFonts w:ascii="Times New Roman" w:eastAsia="新細明體" w:hAnsi="Times New Roman" w:cs="Times New Roman"/>
                <w:b/>
                <w:bCs/>
                <w:kern w:val="0"/>
                <w:szCs w:val="24"/>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325" w:type="pct"/>
            <w:gridSpan w:val="2"/>
            <w:tcBorders>
              <w:top w:val="single" w:sz="12" w:space="0" w:color="auto"/>
              <w:left w:val="nil"/>
              <w:bottom w:val="single" w:sz="4" w:space="0" w:color="auto"/>
              <w:right w:val="nil"/>
            </w:tcBorders>
            <w:shd w:val="clear" w:color="auto" w:fill="auto"/>
            <w:vAlign w:val="center"/>
            <w:hideMark/>
          </w:tcPr>
          <w:p w:rsidR="00F47F60" w:rsidRPr="007F32A3" w:rsidRDefault="00F47F60" w:rsidP="00F47F60">
            <w:pPr>
              <w:pStyle w:val="af"/>
              <w:widowControl/>
              <w:spacing w:beforeLines="25" w:before="90"/>
              <w:ind w:leftChars="0" w:left="357"/>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HQKAM</w:t>
            </w:r>
          </w:p>
        </w:tc>
        <w:tc>
          <w:tcPr>
            <w:tcW w:w="146" w:type="pct"/>
            <w:tcBorders>
              <w:top w:val="nil"/>
              <w:left w:val="nil"/>
              <w:bottom w:val="nil"/>
              <w:right w:val="nil"/>
            </w:tcBorders>
            <w:shd w:val="clear" w:color="auto" w:fill="auto"/>
            <w:noWrap/>
            <w:vAlign w:val="center"/>
            <w:hideMark/>
          </w:tcPr>
          <w:p w:rsidR="0002186D" w:rsidRPr="007F32A3" w:rsidRDefault="0002186D" w:rsidP="00F47F60">
            <w:pPr>
              <w:widowControl/>
              <w:spacing w:beforeLines="25" w:before="90"/>
              <w:jc w:val="center"/>
              <w:rPr>
                <w:rFonts w:ascii="Times New Roman" w:eastAsia="新細明體" w:hAnsi="Times New Roman" w:cs="Times New Roman"/>
                <w:b/>
                <w:bCs/>
                <w:kern w:val="0"/>
                <w:szCs w:val="24"/>
              </w:rPr>
            </w:pPr>
          </w:p>
        </w:tc>
        <w:tc>
          <w:tcPr>
            <w:tcW w:w="1585" w:type="pct"/>
            <w:gridSpan w:val="2"/>
            <w:tcBorders>
              <w:top w:val="single" w:sz="12" w:space="0" w:color="auto"/>
              <w:left w:val="nil"/>
              <w:bottom w:val="single" w:sz="4" w:space="0" w:color="auto"/>
              <w:right w:val="nil"/>
            </w:tcBorders>
            <w:shd w:val="clear" w:color="auto" w:fill="auto"/>
            <w:vAlign w:val="center"/>
            <w:hideMark/>
          </w:tcPr>
          <w:p w:rsidR="00F47F60" w:rsidRPr="007F32A3" w:rsidRDefault="00F47F60" w:rsidP="00F47F60">
            <w:pPr>
              <w:pStyle w:val="af"/>
              <w:widowControl/>
              <w:spacing w:beforeLines="25" w:before="90"/>
              <w:ind w:leftChars="0" w:left="36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KAM</w:t>
            </w: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jc w:val="center"/>
              <w:rPr>
                <w:rFonts w:ascii="Times New Roman" w:eastAsia="新細明體" w:hAnsi="Times New Roman" w:cs="Times New Roman"/>
                <w:b/>
                <w:bCs/>
                <w:kern w:val="0"/>
                <w:szCs w:val="24"/>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SPE</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0.475</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0.610</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(0.063)</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(0.007)</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BIGN</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-0.286</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-0.227</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(0.086)</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(0.125)</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CPATEN</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-0.006</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-0.024</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(0.846)</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(0.359)</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CPAEXP</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-0.009</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(0.807)</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(0.353)</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SIZE</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-0.007</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0.015</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(0.945)</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(0.872)</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CG </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0.037</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0.023</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(0.462)</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(0.601) </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COMPLEX</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-0.006</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-0.005</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(0.099)</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(0.121)</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MB</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0.071</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0.058</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(0.089)</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(0.118)</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LOSS</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0.018</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0.014</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(0.899)</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(0.906)</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LEV</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-0.008</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-0.009</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p>
        </w:tc>
      </w:tr>
      <w:tr w:rsidR="007F32A3" w:rsidRPr="007F32A3" w:rsidTr="009B0291">
        <w:trPr>
          <w:trHeight w:val="306"/>
        </w:trPr>
        <w:tc>
          <w:tcPr>
            <w:tcW w:w="1399" w:type="pct"/>
            <w:tcBorders>
              <w:top w:val="nil"/>
              <w:left w:val="nil"/>
              <w:bottom w:val="nil"/>
              <w:right w:val="nil"/>
            </w:tcBorders>
            <w:shd w:val="clear" w:color="auto" w:fill="auto"/>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(0.021)</w:t>
            </w:r>
          </w:p>
        </w:tc>
        <w:tc>
          <w:tcPr>
            <w:tcW w:w="444"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vAlign w:val="center"/>
            <w:hideMark/>
          </w:tcPr>
          <w:p w:rsidR="0002186D" w:rsidRPr="007F32A3" w:rsidRDefault="004B648E" w:rsidP="0002186D">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IndustryDummies</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i/>
                <w:iCs/>
                <w:kern w:val="0"/>
                <w:szCs w:val="24"/>
              </w:rPr>
            </w:pPr>
          </w:p>
        </w:tc>
        <w:tc>
          <w:tcPr>
            <w:tcW w:w="881"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276"/>
        </w:trPr>
        <w:tc>
          <w:tcPr>
            <w:tcW w:w="1399"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881" w:type="pct"/>
            <w:tcBorders>
              <w:top w:val="nil"/>
              <w:left w:val="nil"/>
              <w:bottom w:val="nil"/>
              <w:right w:val="nil"/>
            </w:tcBorders>
            <w:shd w:val="clear" w:color="auto" w:fill="auto"/>
            <w:noWrap/>
            <w:vAlign w:val="center"/>
            <w:hideMark/>
          </w:tcPr>
          <w:p w:rsidR="0002186D" w:rsidRPr="007F32A3" w:rsidRDefault="0002186D" w:rsidP="0002186D">
            <w:pPr>
              <w:widowControl/>
              <w:jc w:val="center"/>
              <w:rPr>
                <w:rFonts w:ascii="Times New Roman" w:eastAsia="Times New Roman" w:hAnsi="Times New Roman" w:cs="Times New Roman"/>
                <w:kern w:val="0"/>
                <w:sz w:val="20"/>
                <w:szCs w:val="20"/>
              </w:rPr>
            </w:pP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Times New Roman" w:hAnsi="Times New Roman" w:cs="Times New Roman"/>
                <w:kern w:val="0"/>
                <w:sz w:val="20"/>
                <w:szCs w:val="20"/>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06"/>
        </w:trPr>
        <w:tc>
          <w:tcPr>
            <w:tcW w:w="1399"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N</w:t>
            </w:r>
          </w:p>
        </w:tc>
        <w:tc>
          <w:tcPr>
            <w:tcW w:w="367"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i/>
                <w:iCs/>
                <w:kern w:val="0"/>
                <w:szCs w:val="24"/>
              </w:rPr>
            </w:pPr>
          </w:p>
        </w:tc>
        <w:tc>
          <w:tcPr>
            <w:tcW w:w="881" w:type="pct"/>
            <w:tcBorders>
              <w:top w:val="nil"/>
              <w:left w:val="nil"/>
              <w:bottom w:val="nil"/>
              <w:right w:val="nil"/>
            </w:tcBorders>
            <w:shd w:val="clear" w:color="auto" w:fill="auto"/>
            <w:vAlign w:val="center"/>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444" w:type="pct"/>
            <w:tcBorders>
              <w:top w:val="nil"/>
              <w:left w:val="nil"/>
              <w:bottom w:val="nil"/>
              <w:right w:val="nil"/>
            </w:tcBorders>
            <w:shd w:val="clear" w:color="auto" w:fill="auto"/>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vAlign w:val="center"/>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556" w:type="pct"/>
            <w:tcBorders>
              <w:top w:val="nil"/>
              <w:left w:val="nil"/>
              <w:bottom w:val="nil"/>
              <w:right w:val="nil"/>
            </w:tcBorders>
            <w:shd w:val="clear" w:color="auto" w:fill="auto"/>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Cox &amp; Snell R</w:t>
            </w:r>
            <w:r w:rsidRPr="007F32A3">
              <w:rPr>
                <w:rFonts w:ascii="Times New Roman" w:eastAsia="新細明體" w:hAnsi="Times New Roman" w:cs="Times New Roman"/>
                <w:b/>
                <w:bCs/>
                <w:kern w:val="0"/>
                <w:szCs w:val="24"/>
                <w:vertAlign w:val="superscript"/>
              </w:rPr>
              <w:t>2</w:t>
            </w:r>
          </w:p>
        </w:tc>
        <w:tc>
          <w:tcPr>
            <w:tcW w:w="367"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b/>
                <w:bCs/>
                <w:i/>
                <w:i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0.038</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0.042</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54"/>
        </w:trPr>
        <w:tc>
          <w:tcPr>
            <w:tcW w:w="1399" w:type="pct"/>
            <w:tcBorders>
              <w:top w:val="nil"/>
              <w:left w:val="nil"/>
              <w:bottom w:val="nil"/>
              <w:right w:val="nil"/>
            </w:tcBorders>
            <w:shd w:val="clear" w:color="auto" w:fill="auto"/>
            <w:vAlign w:val="center"/>
            <w:hideMark/>
          </w:tcPr>
          <w:p w:rsidR="0002186D" w:rsidRPr="007F32A3" w:rsidRDefault="0002186D" w:rsidP="0002186D">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 xml:space="preserve">Nagelkerke R </w:t>
            </w:r>
            <w:r w:rsidRPr="007F32A3">
              <w:rPr>
                <w:rFonts w:ascii="Times New Roman" w:eastAsia="新細明體" w:hAnsi="Times New Roman" w:cs="Times New Roman"/>
                <w:b/>
                <w:bCs/>
                <w:kern w:val="0"/>
                <w:szCs w:val="24"/>
                <w:vertAlign w:val="superscript"/>
              </w:rPr>
              <w:t>2</w:t>
            </w:r>
          </w:p>
        </w:tc>
        <w:tc>
          <w:tcPr>
            <w:tcW w:w="367"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b/>
                <w:bCs/>
                <w:i/>
                <w:iCs/>
                <w:kern w:val="0"/>
                <w:szCs w:val="24"/>
              </w:rPr>
            </w:pPr>
          </w:p>
        </w:tc>
        <w:tc>
          <w:tcPr>
            <w:tcW w:w="881"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0.050</w:t>
            </w:r>
          </w:p>
        </w:tc>
        <w:tc>
          <w:tcPr>
            <w:tcW w:w="444"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46"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c>
          <w:tcPr>
            <w:tcW w:w="1029" w:type="pct"/>
            <w:tcBorders>
              <w:top w:val="nil"/>
              <w:left w:val="nil"/>
              <w:bottom w:val="nil"/>
              <w:right w:val="nil"/>
            </w:tcBorders>
            <w:shd w:val="clear" w:color="auto" w:fill="auto"/>
            <w:noWrap/>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0.045</w:t>
            </w:r>
          </w:p>
        </w:tc>
        <w:tc>
          <w:tcPr>
            <w:tcW w:w="556" w:type="pct"/>
            <w:tcBorders>
              <w:top w:val="nil"/>
              <w:left w:val="nil"/>
              <w:bottom w:val="nil"/>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p>
        </w:tc>
        <w:tc>
          <w:tcPr>
            <w:tcW w:w="178" w:type="pct"/>
            <w:tcBorders>
              <w:top w:val="nil"/>
              <w:left w:val="nil"/>
              <w:bottom w:val="nil"/>
              <w:right w:val="nil"/>
            </w:tcBorders>
            <w:shd w:val="clear" w:color="auto" w:fill="auto"/>
            <w:noWrap/>
            <w:vAlign w:val="center"/>
            <w:hideMark/>
          </w:tcPr>
          <w:p w:rsidR="0002186D" w:rsidRPr="007F32A3" w:rsidRDefault="0002186D" w:rsidP="0002186D">
            <w:pPr>
              <w:widowControl/>
              <w:rPr>
                <w:rFonts w:ascii="Times New Roman" w:eastAsia="Times New Roman" w:hAnsi="Times New Roman" w:cs="Times New Roman"/>
                <w:kern w:val="0"/>
                <w:sz w:val="20"/>
                <w:szCs w:val="20"/>
              </w:rPr>
            </w:pPr>
          </w:p>
        </w:tc>
      </w:tr>
      <w:tr w:rsidR="007F32A3" w:rsidRPr="007F32A3" w:rsidTr="009B0291">
        <w:trPr>
          <w:trHeight w:val="360"/>
        </w:trPr>
        <w:tc>
          <w:tcPr>
            <w:tcW w:w="1399" w:type="pct"/>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Sig.</w:t>
            </w:r>
          </w:p>
        </w:tc>
        <w:tc>
          <w:tcPr>
            <w:tcW w:w="367" w:type="pct"/>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　</w:t>
            </w:r>
          </w:p>
        </w:tc>
        <w:tc>
          <w:tcPr>
            <w:tcW w:w="881" w:type="pct"/>
            <w:tcBorders>
              <w:top w:val="nil"/>
              <w:left w:val="nil"/>
              <w:bottom w:val="single" w:sz="12" w:space="0" w:color="auto"/>
              <w:right w:val="nil"/>
            </w:tcBorders>
            <w:shd w:val="clear" w:color="auto" w:fill="auto"/>
            <w:noWrap/>
            <w:vAlign w:val="center"/>
            <w:hideMark/>
          </w:tcPr>
          <w:p w:rsidR="0002186D" w:rsidRPr="007F32A3" w:rsidRDefault="004B648E"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w:t>
            </w:r>
            <w:r w:rsidR="0002186D" w:rsidRPr="007F32A3">
              <w:rPr>
                <w:rFonts w:ascii="Times New Roman" w:eastAsia="新細明體" w:hAnsi="Times New Roman" w:cs="Times New Roman"/>
                <w:kern w:val="0"/>
                <w:szCs w:val="24"/>
              </w:rPr>
              <w:t>0.002</w:t>
            </w:r>
            <w:r w:rsidRPr="007F32A3">
              <w:rPr>
                <w:rFonts w:ascii="Times New Roman" w:eastAsia="新細明體" w:hAnsi="Times New Roman" w:cs="Times New Roman"/>
                <w:kern w:val="0"/>
                <w:szCs w:val="24"/>
              </w:rPr>
              <w:t>)</w:t>
            </w:r>
          </w:p>
        </w:tc>
        <w:tc>
          <w:tcPr>
            <w:tcW w:w="444" w:type="pct"/>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46" w:type="pct"/>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　</w:t>
            </w:r>
          </w:p>
        </w:tc>
        <w:tc>
          <w:tcPr>
            <w:tcW w:w="1029" w:type="pct"/>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556" w:type="pct"/>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78" w:type="pct"/>
            <w:tcBorders>
              <w:top w:val="nil"/>
              <w:left w:val="nil"/>
              <w:bottom w:val="single" w:sz="12" w:space="0" w:color="auto"/>
              <w:right w:val="nil"/>
            </w:tcBorders>
            <w:shd w:val="clear" w:color="auto" w:fill="auto"/>
            <w:noWrap/>
            <w:vAlign w:val="center"/>
            <w:hideMark/>
          </w:tcPr>
          <w:p w:rsidR="0002186D" w:rsidRPr="007F32A3" w:rsidRDefault="0002186D" w:rsidP="0002186D">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　</w:t>
            </w:r>
          </w:p>
        </w:tc>
      </w:tr>
    </w:tbl>
    <w:p w:rsidR="00C825D1" w:rsidRPr="007F32A3" w:rsidRDefault="00C825D1" w:rsidP="00C825D1">
      <w:pPr>
        <w:pStyle w:val="a3"/>
        <w:tabs>
          <w:tab w:val="left" w:pos="212"/>
        </w:tabs>
        <w:adjustRightInd w:val="0"/>
        <w:rPr>
          <w:rFonts w:eastAsia="標楷體"/>
          <w:sz w:val="18"/>
          <w:szCs w:val="18"/>
        </w:rPr>
      </w:pPr>
      <w:r w:rsidRPr="007F32A3">
        <w:rPr>
          <w:rFonts w:eastAsia="標楷體"/>
          <w:sz w:val="18"/>
          <w:szCs w:val="18"/>
        </w:rPr>
        <w:t>1.</w:t>
      </w:r>
      <w:r w:rsidRPr="007F32A3">
        <w:rPr>
          <w:rFonts w:eastAsia="標楷體"/>
          <w:sz w:val="18"/>
          <w:szCs w:val="18"/>
        </w:rPr>
        <w:tab/>
        <w:t>Variable definitions are the same as that in Table 2.</w:t>
      </w:r>
    </w:p>
    <w:p w:rsidR="00C825D1" w:rsidRPr="007F32A3" w:rsidRDefault="00C825D1" w:rsidP="00C825D1">
      <w:pPr>
        <w:pStyle w:val="a3"/>
        <w:tabs>
          <w:tab w:val="left" w:pos="212"/>
        </w:tabs>
        <w:adjustRightInd w:val="0"/>
        <w:rPr>
          <w:rFonts w:eastAsia="標楷體"/>
          <w:sz w:val="18"/>
          <w:szCs w:val="18"/>
        </w:rPr>
      </w:pPr>
      <w:r w:rsidRPr="007F32A3">
        <w:rPr>
          <w:rFonts w:eastAsia="標楷體"/>
          <w:sz w:val="18"/>
          <w:szCs w:val="18"/>
        </w:rPr>
        <w:t>2.</w:t>
      </w:r>
      <w:r w:rsidRPr="007F32A3">
        <w:rPr>
          <w:rFonts w:eastAsia="標楷體"/>
          <w:sz w:val="18"/>
          <w:szCs w:val="18"/>
        </w:rPr>
        <w:tab/>
      </w:r>
      <w:r w:rsidRPr="007F32A3">
        <w:rPr>
          <w:rFonts w:eastAsia="標楷體"/>
          <w:i/>
          <w:sz w:val="18"/>
          <w:szCs w:val="18"/>
        </w:rPr>
        <w:t>p</w:t>
      </w:r>
      <w:r w:rsidRPr="007F32A3">
        <w:rPr>
          <w:rFonts w:eastAsia="標楷體"/>
          <w:sz w:val="18"/>
          <w:szCs w:val="18"/>
        </w:rPr>
        <w:t xml:space="preserve">-values in parentheses </w:t>
      </w:r>
      <w:r w:rsidRPr="007F32A3">
        <w:rPr>
          <w:rFonts w:eastAsia="標楷體"/>
          <w:sz w:val="18"/>
          <w:szCs w:val="18"/>
          <w:vertAlign w:val="superscript"/>
        </w:rPr>
        <w:t>*</w:t>
      </w:r>
      <w:r w:rsidRPr="007F32A3">
        <w:rPr>
          <w:rFonts w:eastAsia="標楷體"/>
          <w:sz w:val="18"/>
          <w:szCs w:val="18"/>
        </w:rPr>
        <w:t xml:space="preserve"> p&lt;0.1, </w:t>
      </w:r>
      <w:r w:rsidRPr="007F32A3">
        <w:rPr>
          <w:rFonts w:eastAsia="標楷體"/>
          <w:sz w:val="18"/>
          <w:szCs w:val="18"/>
          <w:vertAlign w:val="superscript"/>
        </w:rPr>
        <w:t>**</w:t>
      </w:r>
      <w:r w:rsidRPr="007F32A3">
        <w:rPr>
          <w:rFonts w:eastAsia="標楷體"/>
          <w:sz w:val="18"/>
          <w:szCs w:val="18"/>
        </w:rPr>
        <w:t xml:space="preserve"> p&lt;0.05, </w:t>
      </w:r>
      <w:r w:rsidRPr="007F32A3">
        <w:rPr>
          <w:rFonts w:eastAsia="標楷體"/>
          <w:sz w:val="18"/>
          <w:szCs w:val="18"/>
          <w:vertAlign w:val="superscript"/>
        </w:rPr>
        <w:t>***</w:t>
      </w:r>
      <w:r w:rsidRPr="007F32A3">
        <w:rPr>
          <w:rFonts w:eastAsia="標楷體"/>
          <w:sz w:val="18"/>
          <w:szCs w:val="18"/>
        </w:rPr>
        <w:t xml:space="preserve"> p&lt;0.01.</w:t>
      </w:r>
    </w:p>
    <w:p w:rsidR="00DD7B5E" w:rsidRPr="007F32A3" w:rsidRDefault="00DD7B5E" w:rsidP="00AE3D06">
      <w:pPr>
        <w:pStyle w:val="body-paragraph4"/>
        <w:spacing w:beforeLines="50" w:before="180" w:afterLines="50" w:after="180"/>
        <w:ind w:left="480" w:hangingChars="200" w:hanging="480"/>
        <w:contextualSpacing/>
        <w:rPr>
          <w:rFonts w:ascii="Times New Roman" w:hAnsi="Times New Roman" w:cs="Times New Roman"/>
        </w:rPr>
      </w:pPr>
    </w:p>
    <w:p w:rsidR="00DD7B5E" w:rsidRPr="007F32A3" w:rsidRDefault="00DD7B5E">
      <w:pPr>
        <w:widowControl/>
        <w:rPr>
          <w:rFonts w:ascii="Times New Roman" w:eastAsia="新細明體" w:hAnsi="Times New Roman" w:cs="Times New Roman"/>
          <w:kern w:val="0"/>
          <w:szCs w:val="24"/>
        </w:rPr>
      </w:pPr>
      <w:r w:rsidRPr="007F32A3">
        <w:rPr>
          <w:rFonts w:ascii="Times New Roman" w:hAnsi="Times New Roman" w:cs="Times New Roman"/>
        </w:rPr>
        <w:br w:type="page"/>
      </w:r>
    </w:p>
    <w:tbl>
      <w:tblPr>
        <w:tblW w:w="5000" w:type="pct"/>
        <w:tblLayout w:type="fixed"/>
        <w:tblCellMar>
          <w:left w:w="28" w:type="dxa"/>
          <w:right w:w="28" w:type="dxa"/>
        </w:tblCellMar>
        <w:tblLook w:val="04A0" w:firstRow="1" w:lastRow="0" w:firstColumn="1" w:lastColumn="0" w:noHBand="0" w:noVBand="1"/>
      </w:tblPr>
      <w:tblGrid>
        <w:gridCol w:w="2229"/>
        <w:gridCol w:w="110"/>
        <w:gridCol w:w="1463"/>
        <w:gridCol w:w="297"/>
        <w:gridCol w:w="10"/>
        <w:gridCol w:w="106"/>
        <w:gridCol w:w="1170"/>
        <w:gridCol w:w="426"/>
        <w:gridCol w:w="141"/>
        <w:gridCol w:w="1278"/>
        <w:gridCol w:w="424"/>
        <w:gridCol w:w="143"/>
        <w:gridCol w:w="1133"/>
        <w:gridCol w:w="465"/>
        <w:gridCol w:w="243"/>
      </w:tblGrid>
      <w:tr w:rsidR="007F32A3" w:rsidRPr="007F32A3" w:rsidTr="009B0291">
        <w:trPr>
          <w:trHeight w:val="312"/>
        </w:trPr>
        <w:tc>
          <w:tcPr>
            <w:tcW w:w="5000" w:type="pct"/>
            <w:gridSpan w:val="15"/>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lastRenderedPageBreak/>
              <w:t xml:space="preserve">Table 5 </w:t>
            </w:r>
            <w:r w:rsidR="00DB2E18" w:rsidRPr="007F32A3">
              <w:rPr>
                <w:rFonts w:ascii="Times New Roman" w:eastAsia="新細明體" w:hAnsi="Times New Roman" w:cs="Times New Roman"/>
                <w:b/>
                <w:bCs/>
                <w:kern w:val="0"/>
                <w:szCs w:val="24"/>
              </w:rPr>
              <w:t xml:space="preserve">Regression </w:t>
            </w:r>
            <w:r w:rsidRPr="007F32A3">
              <w:rPr>
                <w:rFonts w:ascii="Times New Roman" w:eastAsia="新細明體" w:hAnsi="Times New Roman" w:cs="Times New Roman"/>
                <w:b/>
                <w:bCs/>
                <w:kern w:val="0"/>
                <w:szCs w:val="24"/>
              </w:rPr>
              <w:t>Results Considering the Effects of Auditor Change</w:t>
            </w:r>
          </w:p>
          <w:p w:rsidR="007158F9" w:rsidRPr="007F32A3" w:rsidRDefault="00DB2E18" w:rsidP="007158F9">
            <w:pPr>
              <w:spacing w:beforeLines="50" w:before="180"/>
              <w:jc w:val="center"/>
              <w:rPr>
                <w:rFonts w:ascii="Times New Roman" w:hAnsi="Times New Roman" w:cs="Times New Roman"/>
                <w:kern w:val="0"/>
                <w:szCs w:val="24"/>
              </w:rPr>
            </w:pPr>
            <w:r w:rsidRPr="007F32A3">
              <w:rPr>
                <w:rFonts w:ascii="Times New Roman" w:hAnsi="Times New Roman" w:cs="Times New Roman"/>
                <w:kern w:val="0"/>
                <w:position w:val="-12"/>
                <w:szCs w:val="24"/>
              </w:rPr>
              <w:object w:dxaOrig="7500" w:dyaOrig="360">
                <v:shape id="_x0000_i1031" type="#_x0000_t75" style="width:356.9pt;height:17.25pt" o:ole="">
                  <v:imagedata r:id="rId19" o:title=""/>
                </v:shape>
                <o:OLEObject Type="Embed" ProgID="Equation.3" ShapeID="_x0000_i1031" DrawAspect="Content" ObjectID="_1684838680" r:id="rId20"/>
              </w:object>
            </w:r>
          </w:p>
          <w:p w:rsidR="007158F9" w:rsidRPr="007F32A3" w:rsidRDefault="007158F9" w:rsidP="007158F9">
            <w:pPr>
              <w:widowControl/>
              <w:jc w:val="center"/>
              <w:rPr>
                <w:rFonts w:ascii="Times New Roman" w:eastAsia="新細明體" w:hAnsi="Times New Roman" w:cs="Times New Roman"/>
                <w:b/>
                <w:bCs/>
                <w:kern w:val="0"/>
                <w:szCs w:val="24"/>
              </w:rPr>
            </w:pPr>
            <w:r w:rsidRPr="007F32A3">
              <w:rPr>
                <w:rFonts w:ascii="Times New Roman" w:hAnsi="Times New Roman" w:cs="Times New Roman"/>
                <w:kern w:val="0"/>
                <w:szCs w:val="24"/>
              </w:rPr>
              <w:t xml:space="preserve">　　</w:t>
            </w:r>
            <w:r w:rsidRPr="007F32A3">
              <w:rPr>
                <w:rFonts w:ascii="Times New Roman" w:hAnsi="Times New Roman" w:cs="Times New Roman"/>
                <w:kern w:val="0"/>
                <w:position w:val="-12"/>
                <w:szCs w:val="24"/>
              </w:rPr>
              <w:object w:dxaOrig="6759" w:dyaOrig="360">
                <v:shape id="_x0000_i1032" type="#_x0000_t75" style="width:331.75pt;height:18.1pt" o:ole="">
                  <v:imagedata r:id="rId12" o:title=""/>
                </v:shape>
                <o:OLEObject Type="Embed" ProgID="Equation.3" ShapeID="_x0000_i1032" DrawAspect="Content" ObjectID="_1684838681" r:id="rId21"/>
              </w:object>
            </w:r>
            <w:r w:rsidRPr="007F32A3">
              <w:rPr>
                <w:rFonts w:ascii="Times New Roman" w:hAnsi="Times New Roman" w:cs="Times New Roman"/>
                <w:kern w:val="0"/>
                <w:szCs w:val="24"/>
              </w:rPr>
              <w:t xml:space="preserve">  </w:t>
            </w:r>
            <w:r w:rsidRPr="007F32A3">
              <w:rPr>
                <w:rFonts w:ascii="Times New Roman" w:eastAsia="標楷體" w:hAnsi="Times New Roman" w:cs="Times New Roman"/>
                <w:kern w:val="0"/>
                <w:szCs w:val="24"/>
              </w:rPr>
              <w:t>… (2)</w:t>
            </w:r>
          </w:p>
        </w:tc>
      </w:tr>
      <w:tr w:rsidR="007F32A3" w:rsidRPr="007F32A3" w:rsidTr="00115A68">
        <w:trPr>
          <w:trHeight w:val="342"/>
        </w:trPr>
        <w:tc>
          <w:tcPr>
            <w:tcW w:w="1157" w:type="pct"/>
            <w:tcBorders>
              <w:top w:val="nil"/>
              <w:left w:val="nil"/>
              <w:right w:val="nil"/>
            </w:tcBorders>
            <w:shd w:val="clear" w:color="auto" w:fill="auto"/>
            <w:noWrap/>
            <w:vAlign w:val="center"/>
            <w:hideMark/>
          </w:tcPr>
          <w:p w:rsidR="00DD7B5E" w:rsidRPr="007F32A3" w:rsidRDefault="00DD7B5E" w:rsidP="00DD7B5E">
            <w:pPr>
              <w:widowControl/>
              <w:jc w:val="center"/>
              <w:rPr>
                <w:rFonts w:ascii="Times New Roman" w:eastAsia="新細明體" w:hAnsi="Times New Roman" w:cs="Times New Roman"/>
                <w:b/>
                <w:bCs/>
                <w:kern w:val="0"/>
                <w:szCs w:val="24"/>
              </w:rPr>
            </w:pPr>
          </w:p>
        </w:tc>
        <w:tc>
          <w:tcPr>
            <w:tcW w:w="57" w:type="pct"/>
            <w:tcBorders>
              <w:top w:val="nil"/>
              <w:left w:val="nil"/>
              <w:right w:val="nil"/>
            </w:tcBorders>
            <w:shd w:val="clear" w:color="auto" w:fill="auto"/>
            <w:noWrap/>
            <w:vAlign w:val="center"/>
            <w:hideMark/>
          </w:tcPr>
          <w:p w:rsidR="00DD7B5E" w:rsidRPr="007F32A3" w:rsidRDefault="00DD7B5E" w:rsidP="00DD7B5E">
            <w:pPr>
              <w:widowControl/>
              <w:jc w:val="center"/>
              <w:rPr>
                <w:rFonts w:ascii="Times New Roman" w:eastAsia="Times New Roman" w:hAnsi="Times New Roman" w:cs="Times New Roman"/>
                <w:kern w:val="0"/>
                <w:sz w:val="20"/>
                <w:szCs w:val="20"/>
              </w:rPr>
            </w:pPr>
          </w:p>
        </w:tc>
        <w:tc>
          <w:tcPr>
            <w:tcW w:w="1801" w:type="pct"/>
            <w:gridSpan w:val="6"/>
            <w:tcBorders>
              <w:top w:val="single" w:sz="12" w:space="0" w:color="auto"/>
              <w:left w:val="nil"/>
              <w:bottom w:val="single" w:sz="8" w:space="0" w:color="auto"/>
              <w:right w:val="nil"/>
            </w:tcBorders>
            <w:shd w:val="clear" w:color="auto" w:fill="auto"/>
            <w:noWrap/>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Panel A</w:t>
            </w:r>
          </w:p>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Change Auditor or Not</w:t>
            </w:r>
          </w:p>
        </w:tc>
        <w:tc>
          <w:tcPr>
            <w:tcW w:w="73" w:type="pct"/>
            <w:tcBorders>
              <w:top w:val="nil"/>
              <w:left w:val="nil"/>
              <w:right w:val="nil"/>
            </w:tcBorders>
            <w:shd w:val="clear" w:color="auto" w:fill="auto"/>
            <w:noWrap/>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p>
        </w:tc>
        <w:tc>
          <w:tcPr>
            <w:tcW w:w="1912" w:type="pct"/>
            <w:gridSpan w:val="6"/>
            <w:tcBorders>
              <w:top w:val="single" w:sz="12" w:space="0" w:color="auto"/>
              <w:left w:val="nil"/>
              <w:bottom w:val="single" w:sz="8" w:space="0" w:color="auto"/>
              <w:right w:val="nil"/>
            </w:tcBorders>
            <w:shd w:val="clear" w:color="auto" w:fill="auto"/>
            <w:noWrap/>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Panel B</w:t>
            </w:r>
          </w:p>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Change Only One or Both</w:t>
            </w:r>
          </w:p>
        </w:tc>
      </w:tr>
      <w:tr w:rsidR="007F32A3" w:rsidRPr="007F32A3" w:rsidTr="00115A68">
        <w:trPr>
          <w:trHeight w:val="885"/>
        </w:trPr>
        <w:tc>
          <w:tcPr>
            <w:tcW w:w="11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918" w:type="pct"/>
            <w:gridSpan w:val="3"/>
            <w:tcBorders>
              <w:top w:val="single" w:sz="8" w:space="0" w:color="auto"/>
              <w:left w:val="nil"/>
              <w:bottom w:val="single" w:sz="4" w:space="0" w:color="auto"/>
              <w:right w:val="nil"/>
            </w:tcBorders>
            <w:shd w:val="clear" w:color="auto" w:fill="auto"/>
            <w:vAlign w:val="center"/>
            <w:hideMark/>
          </w:tcPr>
          <w:p w:rsidR="00115A68"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(1) </w:t>
            </w:r>
          </w:p>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Without auditor change</w:t>
            </w:r>
          </w:p>
        </w:tc>
        <w:tc>
          <w:tcPr>
            <w:tcW w:w="55" w:type="pct"/>
            <w:tcBorders>
              <w:top w:val="nil"/>
              <w:left w:val="nil"/>
              <w:bottom w:val="nil"/>
              <w:right w:val="nil"/>
            </w:tcBorders>
            <w:shd w:val="clear" w:color="auto" w:fill="auto"/>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　</w:t>
            </w:r>
          </w:p>
        </w:tc>
        <w:tc>
          <w:tcPr>
            <w:tcW w:w="828" w:type="pct"/>
            <w:gridSpan w:val="2"/>
            <w:tcBorders>
              <w:top w:val="single" w:sz="8" w:space="0" w:color="auto"/>
              <w:left w:val="nil"/>
              <w:bottom w:val="nil"/>
              <w:right w:val="nil"/>
            </w:tcBorders>
            <w:shd w:val="clear" w:color="auto" w:fill="auto"/>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(2) </w:t>
            </w:r>
          </w:p>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With auditor change</w:t>
            </w:r>
          </w:p>
        </w:tc>
        <w:tc>
          <w:tcPr>
            <w:tcW w:w="73" w:type="pct"/>
            <w:tcBorders>
              <w:top w:val="nil"/>
              <w:left w:val="nil"/>
              <w:bottom w:val="nil"/>
              <w:right w:val="nil"/>
            </w:tcBorders>
            <w:shd w:val="clear" w:color="auto" w:fill="auto"/>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p>
        </w:tc>
        <w:tc>
          <w:tcPr>
            <w:tcW w:w="883" w:type="pct"/>
            <w:gridSpan w:val="2"/>
            <w:tcBorders>
              <w:top w:val="nil"/>
              <w:left w:val="nil"/>
              <w:bottom w:val="single" w:sz="4" w:space="0" w:color="auto"/>
              <w:right w:val="nil"/>
            </w:tcBorders>
            <w:shd w:val="clear" w:color="auto" w:fill="auto"/>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(3) </w:t>
            </w:r>
          </w:p>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Change only one auditor</w:t>
            </w:r>
          </w:p>
        </w:tc>
        <w:tc>
          <w:tcPr>
            <w:tcW w:w="74" w:type="pct"/>
            <w:tcBorders>
              <w:top w:val="nil"/>
              <w:left w:val="nil"/>
              <w:right w:val="nil"/>
            </w:tcBorders>
            <w:shd w:val="clear" w:color="auto" w:fill="auto"/>
            <w:vAlign w:val="center"/>
            <w:hideMark/>
          </w:tcPr>
          <w:p w:rsidR="00DD7B5E" w:rsidRPr="007F32A3" w:rsidRDefault="00DD7B5E" w:rsidP="00DD7B5E">
            <w:pPr>
              <w:widowControl/>
              <w:snapToGrid w:val="0"/>
              <w:jc w:val="center"/>
              <w:rPr>
                <w:rFonts w:ascii="Times New Roman" w:eastAsia="新細明體" w:hAnsi="Times New Roman" w:cs="Times New Roman"/>
                <w:b/>
                <w:bCs/>
                <w:kern w:val="0"/>
                <w:szCs w:val="24"/>
              </w:rPr>
            </w:pPr>
          </w:p>
        </w:tc>
        <w:tc>
          <w:tcPr>
            <w:tcW w:w="829" w:type="pct"/>
            <w:gridSpan w:val="2"/>
            <w:tcBorders>
              <w:top w:val="nil"/>
              <w:left w:val="nil"/>
              <w:bottom w:val="single" w:sz="4" w:space="0" w:color="auto"/>
              <w:right w:val="nil"/>
            </w:tcBorders>
            <w:shd w:val="clear" w:color="auto" w:fill="auto"/>
            <w:vAlign w:val="center"/>
            <w:hideMark/>
          </w:tcPr>
          <w:p w:rsidR="00115A68"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(4) </w:t>
            </w:r>
          </w:p>
          <w:p w:rsidR="00DD7B5E" w:rsidRPr="007F32A3" w:rsidRDefault="00DD7B5E" w:rsidP="00DD7B5E">
            <w:pPr>
              <w:widowControl/>
              <w:snapToGrid w:val="0"/>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Change both  auditors</w:t>
            </w: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jc w:val="center"/>
              <w:rPr>
                <w:rFonts w:ascii="Times New Roman" w:eastAsia="新細明體" w:hAnsi="Times New Roman" w:cs="Times New Roman"/>
                <w:b/>
                <w:bCs/>
                <w:kern w:val="0"/>
                <w:szCs w:val="24"/>
              </w:rPr>
            </w:pPr>
          </w:p>
        </w:tc>
      </w:tr>
      <w:tr w:rsidR="007F32A3" w:rsidRPr="007F32A3" w:rsidTr="00115A68">
        <w:trPr>
          <w:trHeight w:val="354"/>
        </w:trPr>
        <w:tc>
          <w:tcPr>
            <w:tcW w:w="1157" w:type="pct"/>
            <w:tcBorders>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SPE</w:t>
            </w:r>
          </w:p>
        </w:tc>
        <w:tc>
          <w:tcPr>
            <w:tcW w:w="57" w:type="pct"/>
            <w:tcBorders>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single" w:sz="4" w:space="0" w:color="auto"/>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0.595</w:t>
            </w:r>
          </w:p>
        </w:tc>
        <w:tc>
          <w:tcPr>
            <w:tcW w:w="154" w:type="pct"/>
            <w:tcBorders>
              <w:top w:val="single" w:sz="4" w:space="0" w:color="auto"/>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60" w:type="pct"/>
            <w:gridSpan w:val="2"/>
            <w:tcBorders>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c>
          <w:tcPr>
            <w:tcW w:w="607" w:type="pct"/>
            <w:tcBorders>
              <w:top w:val="single" w:sz="4" w:space="0" w:color="auto"/>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0.534</w:t>
            </w:r>
          </w:p>
        </w:tc>
        <w:tc>
          <w:tcPr>
            <w:tcW w:w="221" w:type="pct"/>
            <w:tcBorders>
              <w:top w:val="single" w:sz="4" w:space="0" w:color="auto"/>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single" w:sz="4" w:space="0" w:color="auto"/>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0.341</w:t>
            </w:r>
          </w:p>
        </w:tc>
        <w:tc>
          <w:tcPr>
            <w:tcW w:w="220" w:type="pct"/>
            <w:tcBorders>
              <w:top w:val="single" w:sz="4" w:space="0" w:color="auto"/>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single" w:sz="4" w:space="0" w:color="auto"/>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2.522</w:t>
            </w:r>
          </w:p>
        </w:tc>
        <w:tc>
          <w:tcPr>
            <w:tcW w:w="241" w:type="pct"/>
            <w:tcBorders>
              <w:top w:val="single" w:sz="4" w:space="0" w:color="auto"/>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(0.040)</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(0.150)</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(0.391)</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(0.023)</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BIGN</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-0.135</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-0.342</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-0.336</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-0.975</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(0.520)</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(0.113)</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(0.169)</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(0.074)</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CPATEN</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0.048</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-0.075</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-0.112</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rPr>
                <w:rFonts w:ascii="Times New Roman" w:eastAsia="Times New Roman" w:hAnsi="Times New Roman" w:cs="Times New Roman"/>
                <w:kern w:val="0"/>
                <w:sz w:val="20"/>
                <w:szCs w:val="20"/>
              </w:rPr>
            </w:pP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(0.226)</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(0.056)</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(0.026)</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rPr>
                <w:rFonts w:ascii="Times New Roman" w:eastAsia="Times New Roman" w:hAnsi="Times New Roman" w:cs="Times New Roman"/>
                <w:kern w:val="0"/>
                <w:sz w:val="20"/>
                <w:szCs w:val="20"/>
              </w:rPr>
            </w:pP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CPAEXP</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-0.004</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-0.013</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-0.019</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0.034</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(0.795)</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(0.373)</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(0.244)</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(0.410)</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SIZE</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0.012</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-0.012</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-0.061</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-0.099</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(0.919)</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(0.937)</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(0.716)</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(0.808)</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CG </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0.044</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0.043</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-0.007</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(0.962)</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(0.526) </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(0.581) </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(0.969) </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COMPLEX</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-0.006</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-0.005</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-0.036</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(0.174)</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(0.303)</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(0.605)</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(0.035)</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MB</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0.069</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0.044</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0.059</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-0.043</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(0.162)</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(0.440)</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(0.362)</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(0.756)</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LOSS</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0.072</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-0.168</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-0.187</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-0.311</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(0.658)</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(0.386)</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(0.387)</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(0.519)</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LEV</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-0.010</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-0.006</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-0.002</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-0.022</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p>
        </w:tc>
      </w:tr>
      <w:tr w:rsidR="007F32A3" w:rsidRPr="007F32A3" w:rsidTr="00115A68">
        <w:trPr>
          <w:trHeight w:val="306"/>
        </w:trPr>
        <w:tc>
          <w:tcPr>
            <w:tcW w:w="1157" w:type="pct"/>
            <w:tcBorders>
              <w:top w:val="nil"/>
              <w:left w:val="nil"/>
              <w:bottom w:val="nil"/>
              <w:right w:val="nil"/>
            </w:tcBorders>
            <w:shd w:val="clear" w:color="auto" w:fill="auto"/>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(0.011)</w:t>
            </w: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(0.206)</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(0.717)</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(0.087)</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IndustryDummies</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i/>
                <w:iCs/>
                <w:kern w:val="0"/>
                <w:szCs w:val="24"/>
              </w:rPr>
            </w:pPr>
          </w:p>
        </w:tc>
        <w:tc>
          <w:tcPr>
            <w:tcW w:w="759"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center"/>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60" w:type="pct"/>
            <w:gridSpan w:val="2"/>
            <w:tcBorders>
              <w:top w:val="nil"/>
              <w:left w:val="nil"/>
              <w:bottom w:val="nil"/>
              <w:right w:val="nil"/>
            </w:tcBorders>
            <w:shd w:val="clear" w:color="auto" w:fill="auto"/>
            <w:noWrap/>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rPr>
                <w:rFonts w:ascii="Times New Roman" w:eastAsia="Times New Roman" w:hAnsi="Times New Roman" w:cs="Times New Roman"/>
                <w:kern w:val="0"/>
                <w:sz w:val="20"/>
                <w:szCs w:val="20"/>
              </w:rPr>
            </w:pP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rPr>
                <w:rFonts w:ascii="Times New Roman" w:eastAsia="Times New Roman" w:hAnsi="Times New Roman" w:cs="Times New Roman"/>
                <w:kern w:val="0"/>
                <w:sz w:val="20"/>
                <w:szCs w:val="20"/>
              </w:rPr>
            </w:pP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rPr>
                <w:rFonts w:ascii="Times New Roman" w:eastAsia="Times New Roman" w:hAnsi="Times New Roman" w:cs="Times New Roman"/>
                <w:kern w:val="0"/>
                <w:sz w:val="20"/>
                <w:szCs w:val="20"/>
              </w:rPr>
            </w:pP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Times New Roman" w:hAnsi="Times New Roman" w:cs="Times New Roman"/>
                <w:kern w:val="0"/>
                <w:sz w:val="20"/>
                <w:szCs w:val="20"/>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06"/>
        </w:trPr>
        <w:tc>
          <w:tcPr>
            <w:tcW w:w="11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N</w:t>
            </w:r>
          </w:p>
        </w:tc>
        <w:tc>
          <w:tcPr>
            <w:tcW w:w="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i/>
                <w:iCs/>
                <w:kern w:val="0"/>
                <w:szCs w:val="24"/>
              </w:rPr>
            </w:pPr>
          </w:p>
        </w:tc>
        <w:tc>
          <w:tcPr>
            <w:tcW w:w="759"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916</w:t>
            </w:r>
          </w:p>
        </w:tc>
        <w:tc>
          <w:tcPr>
            <w:tcW w:w="154"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638</w:t>
            </w:r>
          </w:p>
        </w:tc>
        <w:tc>
          <w:tcPr>
            <w:tcW w:w="221"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532</w:t>
            </w:r>
          </w:p>
        </w:tc>
        <w:tc>
          <w:tcPr>
            <w:tcW w:w="220"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106</w:t>
            </w:r>
          </w:p>
        </w:tc>
        <w:tc>
          <w:tcPr>
            <w:tcW w:w="241" w:type="pct"/>
            <w:tcBorders>
              <w:top w:val="nil"/>
              <w:left w:val="nil"/>
              <w:bottom w:val="nil"/>
              <w:right w:val="nil"/>
            </w:tcBorders>
            <w:shd w:val="clear" w:color="auto" w:fill="auto"/>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Cox &amp; Snell R</w:t>
            </w:r>
            <w:r w:rsidRPr="007F32A3">
              <w:rPr>
                <w:rFonts w:ascii="Times New Roman" w:eastAsia="新細明體" w:hAnsi="Times New Roman" w:cs="Times New Roman"/>
                <w:b/>
                <w:bCs/>
                <w:kern w:val="0"/>
                <w:szCs w:val="24"/>
                <w:vertAlign w:val="superscript"/>
              </w:rPr>
              <w:t>2</w:t>
            </w:r>
          </w:p>
        </w:tc>
        <w:tc>
          <w:tcPr>
            <w:tcW w:w="57"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b/>
                <w:bCs/>
                <w:i/>
                <w:i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0.050</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0.104</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0.115</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0.246</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54"/>
        </w:trPr>
        <w:tc>
          <w:tcPr>
            <w:tcW w:w="1157" w:type="pct"/>
            <w:tcBorders>
              <w:top w:val="nil"/>
              <w:left w:val="nil"/>
              <w:bottom w:val="nil"/>
              <w:right w:val="nil"/>
            </w:tcBorders>
            <w:shd w:val="clear" w:color="auto" w:fill="auto"/>
            <w:vAlign w:val="center"/>
            <w:hideMark/>
          </w:tcPr>
          <w:p w:rsidR="00DD7B5E" w:rsidRPr="007F32A3" w:rsidRDefault="00DD7B5E" w:rsidP="00DD7B5E">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 xml:space="preserve">Nagelkerke R </w:t>
            </w:r>
            <w:r w:rsidRPr="007F32A3">
              <w:rPr>
                <w:rFonts w:ascii="Times New Roman" w:eastAsia="新細明體" w:hAnsi="Times New Roman" w:cs="Times New Roman"/>
                <w:b/>
                <w:bCs/>
                <w:kern w:val="0"/>
                <w:szCs w:val="24"/>
                <w:vertAlign w:val="superscript"/>
              </w:rPr>
              <w:t>2</w:t>
            </w:r>
          </w:p>
        </w:tc>
        <w:tc>
          <w:tcPr>
            <w:tcW w:w="57"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b/>
                <w:bCs/>
                <w:i/>
                <w:iCs/>
                <w:kern w:val="0"/>
                <w:szCs w:val="24"/>
              </w:rPr>
            </w:pPr>
          </w:p>
        </w:tc>
        <w:tc>
          <w:tcPr>
            <w:tcW w:w="759"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0.053</w:t>
            </w:r>
          </w:p>
        </w:tc>
        <w:tc>
          <w:tcPr>
            <w:tcW w:w="154"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60" w:type="pct"/>
            <w:gridSpan w:val="2"/>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07"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0.109</w:t>
            </w:r>
          </w:p>
        </w:tc>
        <w:tc>
          <w:tcPr>
            <w:tcW w:w="22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3"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0.120</w:t>
            </w:r>
          </w:p>
        </w:tc>
        <w:tc>
          <w:tcPr>
            <w:tcW w:w="220"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74"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c>
          <w:tcPr>
            <w:tcW w:w="588" w:type="pct"/>
            <w:tcBorders>
              <w:top w:val="nil"/>
              <w:left w:val="nil"/>
              <w:bottom w:val="nil"/>
              <w:right w:val="nil"/>
            </w:tcBorders>
            <w:shd w:val="clear" w:color="auto" w:fill="auto"/>
            <w:noWrap/>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0.262</w:t>
            </w:r>
          </w:p>
        </w:tc>
        <w:tc>
          <w:tcPr>
            <w:tcW w:w="241" w:type="pct"/>
            <w:tcBorders>
              <w:top w:val="nil"/>
              <w:left w:val="nil"/>
              <w:bottom w:val="nil"/>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p>
        </w:tc>
        <w:tc>
          <w:tcPr>
            <w:tcW w:w="126" w:type="pct"/>
            <w:tcBorders>
              <w:top w:val="nil"/>
              <w:left w:val="nil"/>
              <w:bottom w:val="nil"/>
              <w:right w:val="nil"/>
            </w:tcBorders>
            <w:shd w:val="clear" w:color="auto" w:fill="auto"/>
            <w:noWrap/>
            <w:vAlign w:val="center"/>
            <w:hideMark/>
          </w:tcPr>
          <w:p w:rsidR="00DD7B5E" w:rsidRPr="007F32A3" w:rsidRDefault="00DD7B5E" w:rsidP="00DD7B5E">
            <w:pPr>
              <w:widowControl/>
              <w:rPr>
                <w:rFonts w:ascii="Times New Roman" w:eastAsia="Times New Roman" w:hAnsi="Times New Roman" w:cs="Times New Roman"/>
                <w:kern w:val="0"/>
                <w:sz w:val="20"/>
                <w:szCs w:val="20"/>
              </w:rPr>
            </w:pPr>
          </w:p>
        </w:tc>
      </w:tr>
      <w:tr w:rsidR="007F32A3" w:rsidRPr="007F32A3" w:rsidTr="00115A68">
        <w:trPr>
          <w:trHeight w:val="338"/>
        </w:trPr>
        <w:tc>
          <w:tcPr>
            <w:tcW w:w="1157"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Sig.</w:t>
            </w:r>
          </w:p>
        </w:tc>
        <w:tc>
          <w:tcPr>
            <w:tcW w:w="57"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　</w:t>
            </w:r>
          </w:p>
        </w:tc>
        <w:tc>
          <w:tcPr>
            <w:tcW w:w="759"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(0.040)</w:t>
            </w:r>
          </w:p>
        </w:tc>
        <w:tc>
          <w:tcPr>
            <w:tcW w:w="154"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60" w:type="pct"/>
            <w:gridSpan w:val="2"/>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 xml:space="preserve">　</w:t>
            </w:r>
          </w:p>
        </w:tc>
        <w:tc>
          <w:tcPr>
            <w:tcW w:w="607"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221"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73"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　</w:t>
            </w:r>
          </w:p>
        </w:tc>
        <w:tc>
          <w:tcPr>
            <w:tcW w:w="663"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220"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74"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　</w:t>
            </w:r>
          </w:p>
        </w:tc>
        <w:tc>
          <w:tcPr>
            <w:tcW w:w="588"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(0.18</w:t>
            </w:r>
            <w:r w:rsidR="005D5716" w:rsidRPr="007F32A3">
              <w:rPr>
                <w:rFonts w:ascii="Times New Roman" w:eastAsia="新細明體" w:hAnsi="Times New Roman" w:cs="Times New Roman"/>
                <w:kern w:val="0"/>
                <w:szCs w:val="24"/>
              </w:rPr>
              <w:t>8</w:t>
            </w:r>
            <w:r w:rsidRPr="007F32A3">
              <w:rPr>
                <w:rFonts w:ascii="Times New Roman" w:eastAsia="新細明體" w:hAnsi="Times New Roman" w:cs="Times New Roman"/>
                <w:kern w:val="0"/>
                <w:szCs w:val="24"/>
              </w:rPr>
              <w:t>)</w:t>
            </w:r>
          </w:p>
        </w:tc>
        <w:tc>
          <w:tcPr>
            <w:tcW w:w="241"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 xml:space="preserve">　</w:t>
            </w:r>
          </w:p>
        </w:tc>
        <w:tc>
          <w:tcPr>
            <w:tcW w:w="126" w:type="pct"/>
            <w:tcBorders>
              <w:top w:val="nil"/>
              <w:left w:val="nil"/>
              <w:bottom w:val="single" w:sz="12" w:space="0" w:color="auto"/>
              <w:right w:val="nil"/>
            </w:tcBorders>
            <w:shd w:val="clear" w:color="auto" w:fill="auto"/>
            <w:noWrap/>
            <w:vAlign w:val="center"/>
            <w:hideMark/>
          </w:tcPr>
          <w:p w:rsidR="00DD7B5E" w:rsidRPr="007F32A3" w:rsidRDefault="00DD7B5E" w:rsidP="00DD7B5E">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　</w:t>
            </w:r>
          </w:p>
        </w:tc>
      </w:tr>
    </w:tbl>
    <w:p w:rsidR="00C825D1" w:rsidRPr="007F32A3" w:rsidRDefault="00C825D1" w:rsidP="00C825D1">
      <w:pPr>
        <w:pStyle w:val="a3"/>
        <w:tabs>
          <w:tab w:val="left" w:pos="212"/>
        </w:tabs>
        <w:adjustRightInd w:val="0"/>
        <w:rPr>
          <w:rFonts w:eastAsia="標楷體"/>
          <w:sz w:val="18"/>
          <w:szCs w:val="18"/>
        </w:rPr>
      </w:pPr>
      <w:r w:rsidRPr="007F32A3">
        <w:rPr>
          <w:rFonts w:eastAsia="標楷體"/>
          <w:sz w:val="18"/>
          <w:szCs w:val="18"/>
        </w:rPr>
        <w:t>1.</w:t>
      </w:r>
      <w:r w:rsidRPr="007F32A3">
        <w:rPr>
          <w:rFonts w:eastAsia="標楷體"/>
          <w:sz w:val="18"/>
          <w:szCs w:val="18"/>
        </w:rPr>
        <w:tab/>
        <w:t>Variable definitions are the same as that in Table 2.</w:t>
      </w:r>
    </w:p>
    <w:p w:rsidR="00C825D1" w:rsidRPr="007F32A3" w:rsidRDefault="00C825D1" w:rsidP="00C825D1">
      <w:pPr>
        <w:pStyle w:val="a3"/>
        <w:tabs>
          <w:tab w:val="left" w:pos="212"/>
        </w:tabs>
        <w:adjustRightInd w:val="0"/>
        <w:rPr>
          <w:rFonts w:eastAsia="標楷體"/>
          <w:sz w:val="18"/>
          <w:szCs w:val="18"/>
        </w:rPr>
      </w:pPr>
      <w:r w:rsidRPr="007F32A3">
        <w:rPr>
          <w:rFonts w:eastAsia="標楷體"/>
          <w:sz w:val="18"/>
          <w:szCs w:val="18"/>
        </w:rPr>
        <w:t>2.</w:t>
      </w:r>
      <w:r w:rsidRPr="007F32A3">
        <w:rPr>
          <w:rFonts w:eastAsia="標楷體"/>
          <w:sz w:val="18"/>
          <w:szCs w:val="18"/>
        </w:rPr>
        <w:tab/>
      </w:r>
      <w:r w:rsidRPr="007F32A3">
        <w:rPr>
          <w:rFonts w:eastAsia="標楷體"/>
          <w:i/>
          <w:sz w:val="18"/>
          <w:szCs w:val="18"/>
        </w:rPr>
        <w:t>p</w:t>
      </w:r>
      <w:r w:rsidRPr="007F32A3">
        <w:rPr>
          <w:rFonts w:eastAsia="標楷體"/>
          <w:sz w:val="18"/>
          <w:szCs w:val="18"/>
        </w:rPr>
        <w:t xml:space="preserve">-values in parentheses </w:t>
      </w:r>
      <w:r w:rsidRPr="007F32A3">
        <w:rPr>
          <w:rFonts w:eastAsia="標楷體"/>
          <w:sz w:val="18"/>
          <w:szCs w:val="18"/>
          <w:vertAlign w:val="superscript"/>
        </w:rPr>
        <w:t>*</w:t>
      </w:r>
      <w:r w:rsidRPr="007F32A3">
        <w:rPr>
          <w:rFonts w:eastAsia="標楷體"/>
          <w:sz w:val="18"/>
          <w:szCs w:val="18"/>
        </w:rPr>
        <w:t xml:space="preserve"> p&lt;0.1, </w:t>
      </w:r>
      <w:r w:rsidRPr="007F32A3">
        <w:rPr>
          <w:rFonts w:eastAsia="標楷體"/>
          <w:sz w:val="18"/>
          <w:szCs w:val="18"/>
          <w:vertAlign w:val="superscript"/>
        </w:rPr>
        <w:t>**</w:t>
      </w:r>
      <w:r w:rsidRPr="007F32A3">
        <w:rPr>
          <w:rFonts w:eastAsia="標楷體"/>
          <w:sz w:val="18"/>
          <w:szCs w:val="18"/>
        </w:rPr>
        <w:t xml:space="preserve"> p&lt;0.05, </w:t>
      </w:r>
      <w:r w:rsidRPr="007F32A3">
        <w:rPr>
          <w:rFonts w:eastAsia="標楷體"/>
          <w:sz w:val="18"/>
          <w:szCs w:val="18"/>
          <w:vertAlign w:val="superscript"/>
        </w:rPr>
        <w:t>***</w:t>
      </w:r>
      <w:r w:rsidRPr="007F32A3">
        <w:rPr>
          <w:rFonts w:eastAsia="標楷體"/>
          <w:sz w:val="18"/>
          <w:szCs w:val="18"/>
        </w:rPr>
        <w:t xml:space="preserve"> p&lt;0.01.</w:t>
      </w:r>
    </w:p>
    <w:p w:rsidR="00AE3D06" w:rsidRPr="007F32A3" w:rsidRDefault="00AE3D06" w:rsidP="00AE3D06">
      <w:pPr>
        <w:pStyle w:val="body-paragraph4"/>
        <w:spacing w:beforeLines="50" w:before="180" w:afterLines="50" w:after="180"/>
        <w:ind w:left="480" w:hangingChars="200" w:hanging="480"/>
        <w:contextualSpacing/>
        <w:rPr>
          <w:rFonts w:ascii="Times New Roman" w:hAnsi="Times New Roman" w:cs="Times New Roman"/>
        </w:rPr>
      </w:pPr>
    </w:p>
    <w:p w:rsidR="006403D5" w:rsidRPr="007F32A3" w:rsidRDefault="006403D5">
      <w:pPr>
        <w:widowControl/>
        <w:rPr>
          <w:rFonts w:ascii="Times New Roman" w:hAnsi="Times New Roman" w:cs="Times New Roman"/>
        </w:rPr>
      </w:pPr>
      <w:r w:rsidRPr="007F32A3">
        <w:rPr>
          <w:rFonts w:ascii="Times New Roman" w:hAnsi="Times New Roman" w:cs="Times New Roman"/>
        </w:rPr>
        <w:br w:type="page"/>
      </w:r>
    </w:p>
    <w:tbl>
      <w:tblPr>
        <w:tblW w:w="5000" w:type="pct"/>
        <w:tblCellMar>
          <w:left w:w="28" w:type="dxa"/>
          <w:right w:w="28" w:type="dxa"/>
        </w:tblCellMar>
        <w:tblLook w:val="04A0" w:firstRow="1" w:lastRow="0" w:firstColumn="1" w:lastColumn="0" w:noHBand="0" w:noVBand="1"/>
      </w:tblPr>
      <w:tblGrid>
        <w:gridCol w:w="1905"/>
        <w:gridCol w:w="968"/>
        <w:gridCol w:w="296"/>
        <w:gridCol w:w="62"/>
        <w:gridCol w:w="945"/>
        <w:gridCol w:w="296"/>
        <w:gridCol w:w="62"/>
        <w:gridCol w:w="945"/>
        <w:gridCol w:w="220"/>
        <w:gridCol w:w="62"/>
        <w:gridCol w:w="947"/>
        <w:gridCol w:w="296"/>
        <w:gridCol w:w="62"/>
        <w:gridCol w:w="959"/>
        <w:gridCol w:w="296"/>
        <w:gridCol w:w="62"/>
        <w:gridCol w:w="959"/>
        <w:gridCol w:w="296"/>
      </w:tblGrid>
      <w:tr w:rsidR="007F32A3" w:rsidRPr="007F32A3" w:rsidTr="006403D5">
        <w:trPr>
          <w:trHeight w:val="336"/>
        </w:trPr>
        <w:tc>
          <w:tcPr>
            <w:tcW w:w="5000" w:type="pct"/>
            <w:gridSpan w:val="18"/>
            <w:tcBorders>
              <w:top w:val="nil"/>
              <w:left w:val="nil"/>
              <w:bottom w:val="single" w:sz="12" w:space="0" w:color="auto"/>
              <w:right w:val="nil"/>
            </w:tcBorders>
            <w:shd w:val="clear" w:color="auto" w:fill="auto"/>
            <w:noWrap/>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lastRenderedPageBreak/>
              <w:t>Table 6 Impacts of auditor industry specialization of each kind content quality of KAM</w:t>
            </w:r>
          </w:p>
          <w:p w:rsidR="006403D5" w:rsidRPr="007F32A3" w:rsidRDefault="006403D5" w:rsidP="006403D5">
            <w:pPr>
              <w:spacing w:beforeLines="50" w:before="180"/>
              <w:jc w:val="center"/>
              <w:rPr>
                <w:rFonts w:ascii="Times New Roman" w:hAnsi="Times New Roman" w:cs="Times New Roman"/>
                <w:kern w:val="0"/>
                <w:szCs w:val="24"/>
              </w:rPr>
            </w:pPr>
            <w:r w:rsidRPr="007F32A3">
              <w:rPr>
                <w:rFonts w:ascii="Times New Roman" w:hAnsi="Times New Roman" w:cs="Times New Roman"/>
                <w:kern w:val="0"/>
                <w:position w:val="-12"/>
                <w:szCs w:val="24"/>
              </w:rPr>
              <w:object w:dxaOrig="7500" w:dyaOrig="360">
                <v:shape id="_x0000_i1033" type="#_x0000_t75" style="width:356.9pt;height:17.25pt" o:ole="">
                  <v:imagedata r:id="rId19" o:title=""/>
                </v:shape>
                <o:OLEObject Type="Embed" ProgID="Equation.3" ShapeID="_x0000_i1033" DrawAspect="Content" ObjectID="_1684838682" r:id="rId22"/>
              </w:object>
            </w:r>
          </w:p>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hAnsi="Times New Roman" w:cs="Times New Roman"/>
                <w:kern w:val="0"/>
                <w:szCs w:val="24"/>
              </w:rPr>
              <w:t xml:space="preserve">　　</w:t>
            </w:r>
            <w:r w:rsidRPr="007F32A3">
              <w:rPr>
                <w:rFonts w:ascii="Times New Roman" w:hAnsi="Times New Roman" w:cs="Times New Roman"/>
                <w:kern w:val="0"/>
                <w:position w:val="-12"/>
                <w:szCs w:val="24"/>
              </w:rPr>
              <w:object w:dxaOrig="6759" w:dyaOrig="360">
                <v:shape id="_x0000_i1034" type="#_x0000_t75" style="width:331.75pt;height:18.1pt" o:ole="">
                  <v:imagedata r:id="rId12" o:title=""/>
                </v:shape>
                <o:OLEObject Type="Embed" ProgID="Equation.3" ShapeID="_x0000_i1034" DrawAspect="Content" ObjectID="_1684838683" r:id="rId23"/>
              </w:object>
            </w:r>
            <w:r w:rsidRPr="007F32A3">
              <w:rPr>
                <w:rFonts w:ascii="Times New Roman" w:hAnsi="Times New Roman" w:cs="Times New Roman"/>
                <w:kern w:val="0"/>
                <w:szCs w:val="24"/>
              </w:rPr>
              <w:t xml:space="preserve">  </w:t>
            </w:r>
            <w:r w:rsidRPr="007F32A3">
              <w:rPr>
                <w:rFonts w:ascii="Times New Roman" w:eastAsia="標楷體" w:hAnsi="Times New Roman" w:cs="Times New Roman"/>
                <w:kern w:val="0"/>
                <w:szCs w:val="24"/>
              </w:rPr>
              <w:t>… (2)</w:t>
            </w:r>
          </w:p>
        </w:tc>
      </w:tr>
      <w:tr w:rsidR="007F32A3" w:rsidRPr="007F32A3" w:rsidTr="00D5532B">
        <w:trPr>
          <w:trHeight w:val="270"/>
        </w:trPr>
        <w:tc>
          <w:tcPr>
            <w:tcW w:w="996" w:type="pct"/>
            <w:tcBorders>
              <w:top w:val="nil"/>
              <w:left w:val="nil"/>
              <w:right w:val="nil"/>
            </w:tcBorders>
            <w:shd w:val="clear" w:color="auto" w:fill="auto"/>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p>
        </w:tc>
        <w:tc>
          <w:tcPr>
            <w:tcW w:w="647" w:type="pct"/>
            <w:gridSpan w:val="2"/>
            <w:tcBorders>
              <w:top w:val="nil"/>
              <w:left w:val="nil"/>
              <w:bottom w:val="single" w:sz="2" w:space="0" w:color="auto"/>
              <w:right w:val="nil"/>
            </w:tcBorders>
            <w:shd w:val="clear" w:color="auto" w:fill="auto"/>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(1) KAM1</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p>
        </w:tc>
        <w:tc>
          <w:tcPr>
            <w:tcW w:w="642" w:type="pct"/>
            <w:gridSpan w:val="2"/>
            <w:tcBorders>
              <w:top w:val="nil"/>
              <w:left w:val="nil"/>
              <w:bottom w:val="single" w:sz="2" w:space="0" w:color="auto"/>
              <w:right w:val="nil"/>
            </w:tcBorders>
            <w:shd w:val="clear" w:color="auto" w:fill="auto"/>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(2)KAM2</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p>
        </w:tc>
        <w:tc>
          <w:tcPr>
            <w:tcW w:w="627" w:type="pct"/>
            <w:gridSpan w:val="2"/>
            <w:tcBorders>
              <w:top w:val="nil"/>
              <w:left w:val="nil"/>
              <w:bottom w:val="single" w:sz="2" w:space="0" w:color="auto"/>
              <w:right w:val="nil"/>
            </w:tcBorders>
            <w:shd w:val="clear" w:color="auto" w:fill="auto"/>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(3)KAM3</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p>
        </w:tc>
        <w:tc>
          <w:tcPr>
            <w:tcW w:w="642" w:type="pct"/>
            <w:gridSpan w:val="2"/>
            <w:tcBorders>
              <w:top w:val="nil"/>
              <w:left w:val="nil"/>
              <w:bottom w:val="single" w:sz="2" w:space="0" w:color="auto"/>
              <w:right w:val="nil"/>
            </w:tcBorders>
            <w:shd w:val="clear" w:color="auto" w:fill="auto"/>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(4)KAM4</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p>
        </w:tc>
        <w:tc>
          <w:tcPr>
            <w:tcW w:w="642" w:type="pct"/>
            <w:gridSpan w:val="2"/>
            <w:tcBorders>
              <w:top w:val="nil"/>
              <w:left w:val="nil"/>
              <w:bottom w:val="single" w:sz="2" w:space="0" w:color="auto"/>
              <w:right w:val="nil"/>
            </w:tcBorders>
            <w:shd w:val="clear" w:color="auto" w:fill="auto"/>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(5)KAM5</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p>
        </w:tc>
        <w:tc>
          <w:tcPr>
            <w:tcW w:w="643" w:type="pct"/>
            <w:gridSpan w:val="2"/>
            <w:tcBorders>
              <w:top w:val="nil"/>
              <w:left w:val="nil"/>
              <w:bottom w:val="single" w:sz="2" w:space="0" w:color="auto"/>
              <w:right w:val="nil"/>
            </w:tcBorders>
            <w:shd w:val="clear" w:color="auto" w:fill="auto"/>
            <w:vAlign w:val="center"/>
            <w:hideMark/>
          </w:tcPr>
          <w:p w:rsidR="006403D5" w:rsidRPr="007F32A3" w:rsidRDefault="006403D5" w:rsidP="006403D5">
            <w:pPr>
              <w:widowControl/>
              <w:jc w:val="center"/>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(6)KAM6</w:t>
            </w:r>
          </w:p>
        </w:tc>
      </w:tr>
      <w:tr w:rsidR="007F32A3" w:rsidRPr="007F32A3" w:rsidTr="00D5532B">
        <w:trPr>
          <w:trHeight w:val="390"/>
        </w:trPr>
        <w:tc>
          <w:tcPr>
            <w:tcW w:w="996" w:type="pct"/>
            <w:tcBorders>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SPE</w:t>
            </w:r>
          </w:p>
        </w:tc>
        <w:tc>
          <w:tcPr>
            <w:tcW w:w="510" w:type="pct"/>
            <w:tcBorders>
              <w:top w:val="single" w:sz="2" w:space="0" w:color="auto"/>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0.677</w:t>
            </w:r>
          </w:p>
        </w:tc>
        <w:tc>
          <w:tcPr>
            <w:tcW w:w="137"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single" w:sz="2" w:space="0" w:color="auto"/>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0.050</w:t>
            </w:r>
          </w:p>
        </w:tc>
        <w:tc>
          <w:tcPr>
            <w:tcW w:w="136"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single" w:sz="2" w:space="0" w:color="auto"/>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0.477</w:t>
            </w:r>
          </w:p>
        </w:tc>
        <w:tc>
          <w:tcPr>
            <w:tcW w:w="121"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single" w:sz="2" w:space="0" w:color="auto"/>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0.196</w:t>
            </w:r>
          </w:p>
        </w:tc>
        <w:tc>
          <w:tcPr>
            <w:tcW w:w="136"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single" w:sz="2" w:space="0" w:color="auto"/>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0.739</w:t>
            </w:r>
          </w:p>
        </w:tc>
        <w:tc>
          <w:tcPr>
            <w:tcW w:w="136"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single" w:sz="2" w:space="0" w:color="auto"/>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0.170</w:t>
            </w:r>
          </w:p>
        </w:tc>
        <w:tc>
          <w:tcPr>
            <w:tcW w:w="137" w:type="pct"/>
            <w:tcBorders>
              <w:top w:val="single" w:sz="2" w:space="0" w:color="auto"/>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(0.009)</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(0.853)</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(0.037)</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(0.726)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(0.005)</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(0.533)</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BIGN</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0.136</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-0.491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0.595</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-1.504</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-0.800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0.733</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kern w:val="0"/>
                <w:szCs w:val="24"/>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(0.436)</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(0.012)</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(0.005)</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CPATEN</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-0.039</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-0.034</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0.072</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kern w:val="0"/>
                <w:szCs w:val="24"/>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(0.199)</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(0.981)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(0.471)</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(0.716)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(0.019)</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CPAEXP</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-0.006</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-0.022</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0.033</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0.019</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-0.040</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kern w:val="0"/>
                <w:szCs w:val="24"/>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(0.625)</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(0.052)</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(0.884)</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(0.136)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(0.090)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(0.001)</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SIZE</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0.290</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0.159</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0.150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-0.158</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-0.197</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kern w:val="0"/>
                <w:szCs w:val="24"/>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(0.007)</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(0.931)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(0.355)</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(0.449)</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(0.134)</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(0.075)</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 xml:space="preserve">CG </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-0.038</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0.134</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-0.106</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0.043</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-0.043</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(0.468)</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(0.011) </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(0.194) </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(0.605) </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(0.392) </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 xml:space="preserve">(0.418) </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COMPLEX</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-0.005</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-0.002</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-0.004</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-0.011</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kern w:val="0"/>
                <w:szCs w:val="24"/>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(0.164)</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(0.487)</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(0.731)</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(0.292)</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(0.007)</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MB</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0.136</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-0.027</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-0.087</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-0.005</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0.113</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-0.052</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(0.001)</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(0.529)</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(0.137)</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(0.941)</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(0.007)</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(0.243)</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LOSS</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0.060</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0.096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0.208</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-0.459</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-0.054</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-0.059</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(0.673)</w:t>
            </w:r>
          </w:p>
        </w:tc>
        <w:tc>
          <w:tcPr>
            <w:tcW w:w="137"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(0.504)</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(0.374)</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(0.057)</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(0.700)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(0.684)</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新細明體" w:hAnsi="Times New Roman" w:cs="Times New Roman"/>
                <w:b/>
                <w:bCs/>
                <w:kern w:val="0"/>
                <w:szCs w:val="24"/>
              </w:rPr>
            </w:pPr>
            <w:r w:rsidRPr="007F32A3">
              <w:rPr>
                <w:rFonts w:ascii="Times New Roman" w:eastAsia="新細明體" w:hAnsi="Times New Roman" w:cs="Times New Roman"/>
                <w:b/>
                <w:bCs/>
                <w:kern w:val="0"/>
                <w:szCs w:val="24"/>
              </w:rPr>
              <w:t>LEV</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-0.008</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-0.008</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-0.005</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-0.002</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30"/>
        </w:trPr>
        <w:tc>
          <w:tcPr>
            <w:tcW w:w="996" w:type="pct"/>
            <w:tcBorders>
              <w:top w:val="nil"/>
              <w:left w:val="nil"/>
              <w:bottom w:val="nil"/>
              <w:right w:val="nil"/>
            </w:tcBorders>
            <w:shd w:val="clear" w:color="auto" w:fill="auto"/>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(0.033)</w:t>
            </w:r>
          </w:p>
        </w:tc>
        <w:tc>
          <w:tcPr>
            <w:tcW w:w="137" w:type="pct"/>
            <w:tcBorders>
              <w:top w:val="nil"/>
              <w:left w:val="nil"/>
              <w:bottom w:val="nil"/>
              <w:right w:val="nil"/>
            </w:tcBorders>
            <w:shd w:val="clear" w:color="auto" w:fill="auto"/>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(0.028)</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(0.572)</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(0.096)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(0.155)</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(0.597)</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600"/>
        </w:trPr>
        <w:tc>
          <w:tcPr>
            <w:tcW w:w="996" w:type="pct"/>
            <w:tcBorders>
              <w:top w:val="nil"/>
              <w:left w:val="nil"/>
              <w:bottom w:val="nil"/>
              <w:right w:val="nil"/>
            </w:tcBorders>
            <w:shd w:val="clear" w:color="auto" w:fill="auto"/>
            <w:vAlign w:val="center"/>
            <w:hideMark/>
          </w:tcPr>
          <w:p w:rsidR="006403D5" w:rsidRPr="007F32A3" w:rsidRDefault="006403D5" w:rsidP="006403D5">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IndustryDummies</w:t>
            </w:r>
          </w:p>
        </w:tc>
        <w:tc>
          <w:tcPr>
            <w:tcW w:w="510"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Included</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54"/>
        </w:trPr>
        <w:tc>
          <w:tcPr>
            <w:tcW w:w="996" w:type="pct"/>
            <w:tcBorders>
              <w:top w:val="nil"/>
              <w:left w:val="nil"/>
              <w:bottom w:val="nil"/>
              <w:right w:val="nil"/>
            </w:tcBorders>
            <w:shd w:val="clear" w:color="auto" w:fill="auto"/>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10"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Times New Roman" w:hAnsi="Times New Roman" w:cs="Times New Roman"/>
                <w:kern w:val="0"/>
                <w:sz w:val="20"/>
                <w:szCs w:val="20"/>
              </w:rPr>
            </w:pPr>
          </w:p>
        </w:tc>
      </w:tr>
      <w:tr w:rsidR="007F32A3" w:rsidRPr="007F32A3" w:rsidTr="00B30920">
        <w:trPr>
          <w:trHeight w:val="390"/>
        </w:trPr>
        <w:tc>
          <w:tcPr>
            <w:tcW w:w="996" w:type="pct"/>
            <w:tcBorders>
              <w:top w:val="nil"/>
              <w:left w:val="nil"/>
              <w:bottom w:val="nil"/>
              <w:right w:val="nil"/>
            </w:tcBorders>
            <w:shd w:val="clear" w:color="auto" w:fill="auto"/>
            <w:vAlign w:val="center"/>
            <w:hideMark/>
          </w:tcPr>
          <w:p w:rsidR="006403D5" w:rsidRPr="007F32A3" w:rsidRDefault="006403D5" w:rsidP="006403D5">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N</w:t>
            </w:r>
          </w:p>
        </w:tc>
        <w:tc>
          <w:tcPr>
            <w:tcW w:w="510"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137"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121"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136"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136"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1554</w:t>
            </w:r>
          </w:p>
        </w:tc>
        <w:tc>
          <w:tcPr>
            <w:tcW w:w="137" w:type="pct"/>
            <w:tcBorders>
              <w:top w:val="nil"/>
              <w:left w:val="nil"/>
              <w:bottom w:val="nil"/>
              <w:right w:val="nil"/>
            </w:tcBorders>
            <w:shd w:val="clear" w:color="auto" w:fill="auto"/>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bottom w:val="nil"/>
              <w:right w:val="nil"/>
            </w:tcBorders>
            <w:shd w:val="clear" w:color="auto" w:fill="auto"/>
            <w:vAlign w:val="center"/>
            <w:hideMark/>
          </w:tcPr>
          <w:p w:rsidR="006403D5" w:rsidRPr="007F32A3" w:rsidRDefault="006403D5" w:rsidP="006403D5">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Cox &amp; Snell R</w:t>
            </w:r>
            <w:r w:rsidRPr="007F32A3">
              <w:rPr>
                <w:rFonts w:ascii="Times New Roman" w:eastAsia="新細明體" w:hAnsi="Times New Roman" w:cs="Times New Roman"/>
                <w:b/>
                <w:bCs/>
                <w:kern w:val="0"/>
                <w:szCs w:val="24"/>
                <w:vertAlign w:val="superscript"/>
              </w:rPr>
              <w:t>2</w:t>
            </w:r>
          </w:p>
        </w:tc>
        <w:tc>
          <w:tcPr>
            <w:tcW w:w="510"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0.046</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0.046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0.018</w:t>
            </w:r>
          </w:p>
        </w:tc>
        <w:tc>
          <w:tcPr>
            <w:tcW w:w="121"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0.036</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0.060</w:t>
            </w:r>
          </w:p>
        </w:tc>
        <w:tc>
          <w:tcPr>
            <w:tcW w:w="136"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bottom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bottom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0.070</w:t>
            </w:r>
          </w:p>
        </w:tc>
        <w:tc>
          <w:tcPr>
            <w:tcW w:w="137" w:type="pct"/>
            <w:tcBorders>
              <w:top w:val="nil"/>
              <w:left w:val="nil"/>
              <w:bottom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0"/>
        </w:trPr>
        <w:tc>
          <w:tcPr>
            <w:tcW w:w="996" w:type="pct"/>
            <w:tcBorders>
              <w:top w:val="nil"/>
              <w:left w:val="nil"/>
              <w:right w:val="nil"/>
            </w:tcBorders>
            <w:shd w:val="clear" w:color="auto" w:fill="auto"/>
            <w:vAlign w:val="center"/>
            <w:hideMark/>
          </w:tcPr>
          <w:p w:rsidR="006403D5" w:rsidRPr="007F32A3" w:rsidRDefault="006403D5" w:rsidP="006403D5">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 xml:space="preserve">Nagelkerke R </w:t>
            </w:r>
            <w:r w:rsidRPr="007F32A3">
              <w:rPr>
                <w:rFonts w:ascii="Times New Roman" w:eastAsia="新細明體" w:hAnsi="Times New Roman" w:cs="Times New Roman"/>
                <w:b/>
                <w:bCs/>
                <w:kern w:val="0"/>
                <w:szCs w:val="24"/>
                <w:vertAlign w:val="superscript"/>
              </w:rPr>
              <w:t>2</w:t>
            </w:r>
          </w:p>
        </w:tc>
        <w:tc>
          <w:tcPr>
            <w:tcW w:w="510" w:type="pct"/>
            <w:tcBorders>
              <w:top w:val="nil"/>
              <w:left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0.063</w:t>
            </w:r>
          </w:p>
        </w:tc>
        <w:tc>
          <w:tcPr>
            <w:tcW w:w="137" w:type="pct"/>
            <w:tcBorders>
              <w:top w:val="nil"/>
              <w:left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0.064</w:t>
            </w:r>
          </w:p>
        </w:tc>
        <w:tc>
          <w:tcPr>
            <w:tcW w:w="136" w:type="pct"/>
            <w:tcBorders>
              <w:top w:val="nil"/>
              <w:left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0.037</w:t>
            </w:r>
          </w:p>
        </w:tc>
        <w:tc>
          <w:tcPr>
            <w:tcW w:w="121" w:type="pct"/>
            <w:tcBorders>
              <w:top w:val="nil"/>
              <w:left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3" w:type="pct"/>
            <w:tcBorders>
              <w:top w:val="nil"/>
              <w:left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0.090</w:t>
            </w:r>
          </w:p>
        </w:tc>
        <w:tc>
          <w:tcPr>
            <w:tcW w:w="136" w:type="pct"/>
            <w:tcBorders>
              <w:top w:val="nil"/>
              <w:left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0.080</w:t>
            </w:r>
          </w:p>
        </w:tc>
        <w:tc>
          <w:tcPr>
            <w:tcW w:w="136" w:type="pct"/>
            <w:tcBorders>
              <w:top w:val="nil"/>
              <w:left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c>
          <w:tcPr>
            <w:tcW w:w="32" w:type="pct"/>
            <w:tcBorders>
              <w:top w:val="nil"/>
              <w:left w:val="nil"/>
              <w:right w:val="nil"/>
            </w:tcBorders>
            <w:shd w:val="clear" w:color="auto" w:fill="auto"/>
            <w:noWrap/>
            <w:vAlign w:val="center"/>
            <w:hideMark/>
          </w:tcPr>
          <w:p w:rsidR="006403D5" w:rsidRPr="007F32A3" w:rsidRDefault="006403D5" w:rsidP="006403D5">
            <w:pPr>
              <w:widowControl/>
              <w:rPr>
                <w:rFonts w:ascii="Times New Roman" w:eastAsia="Times New Roman" w:hAnsi="Times New Roman" w:cs="Times New Roman"/>
                <w:kern w:val="0"/>
                <w:sz w:val="20"/>
                <w:szCs w:val="20"/>
              </w:rPr>
            </w:pPr>
          </w:p>
        </w:tc>
        <w:tc>
          <w:tcPr>
            <w:tcW w:w="505" w:type="pct"/>
            <w:tcBorders>
              <w:top w:val="nil"/>
              <w:left w:val="nil"/>
              <w:right w:val="nil"/>
            </w:tcBorders>
            <w:shd w:val="clear" w:color="auto" w:fill="auto"/>
            <w:noWrap/>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0.097</w:t>
            </w:r>
          </w:p>
        </w:tc>
        <w:tc>
          <w:tcPr>
            <w:tcW w:w="137" w:type="pct"/>
            <w:tcBorders>
              <w:top w:val="nil"/>
              <w:left w:val="nil"/>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p>
        </w:tc>
      </w:tr>
      <w:tr w:rsidR="007F32A3" w:rsidRPr="007F32A3" w:rsidTr="00B30920">
        <w:trPr>
          <w:trHeight w:val="396"/>
        </w:trPr>
        <w:tc>
          <w:tcPr>
            <w:tcW w:w="996"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b/>
                <w:bCs/>
                <w:i/>
                <w:iCs/>
                <w:kern w:val="0"/>
                <w:szCs w:val="24"/>
              </w:rPr>
            </w:pPr>
            <w:r w:rsidRPr="007F32A3">
              <w:rPr>
                <w:rFonts w:ascii="Times New Roman" w:eastAsia="新細明體" w:hAnsi="Times New Roman" w:cs="Times New Roman"/>
                <w:b/>
                <w:bCs/>
                <w:i/>
                <w:iCs/>
                <w:kern w:val="0"/>
                <w:szCs w:val="24"/>
              </w:rPr>
              <w:t>Sig.</w:t>
            </w:r>
          </w:p>
        </w:tc>
        <w:tc>
          <w:tcPr>
            <w:tcW w:w="510"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137"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136"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3"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(0.624)</w:t>
            </w:r>
          </w:p>
        </w:tc>
        <w:tc>
          <w:tcPr>
            <w:tcW w:w="121"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 xml:space="preserve">　</w:t>
            </w:r>
          </w:p>
        </w:tc>
        <w:tc>
          <w:tcPr>
            <w:tcW w:w="33"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(0.003)</w:t>
            </w:r>
          </w:p>
        </w:tc>
        <w:tc>
          <w:tcPr>
            <w:tcW w:w="136"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136"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c>
          <w:tcPr>
            <w:tcW w:w="32"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p>
        </w:tc>
        <w:tc>
          <w:tcPr>
            <w:tcW w:w="505"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jc w:val="right"/>
              <w:rPr>
                <w:rFonts w:ascii="Times New Roman" w:eastAsia="新細明體" w:hAnsi="Times New Roman" w:cs="Times New Roman"/>
                <w:kern w:val="0"/>
                <w:szCs w:val="24"/>
              </w:rPr>
            </w:pPr>
            <w:r w:rsidRPr="007F32A3">
              <w:rPr>
                <w:rFonts w:ascii="Times New Roman" w:eastAsia="新細明體" w:hAnsi="Times New Roman" w:cs="Times New Roman"/>
                <w:kern w:val="0"/>
                <w:szCs w:val="24"/>
              </w:rPr>
              <w:t>(0.000)</w:t>
            </w:r>
          </w:p>
        </w:tc>
        <w:tc>
          <w:tcPr>
            <w:tcW w:w="137" w:type="pct"/>
            <w:tcBorders>
              <w:top w:val="nil"/>
              <w:left w:val="nil"/>
              <w:bottom w:val="single" w:sz="8" w:space="0" w:color="auto"/>
              <w:right w:val="nil"/>
            </w:tcBorders>
            <w:shd w:val="clear" w:color="auto" w:fill="auto"/>
            <w:noWrap/>
            <w:vAlign w:val="center"/>
            <w:hideMark/>
          </w:tcPr>
          <w:p w:rsidR="006403D5" w:rsidRPr="007F32A3" w:rsidRDefault="006403D5" w:rsidP="006403D5">
            <w:pPr>
              <w:widowControl/>
              <w:rPr>
                <w:rFonts w:ascii="Times New Roman" w:eastAsia="新細明體" w:hAnsi="Times New Roman" w:cs="Times New Roman"/>
                <w:kern w:val="0"/>
                <w:szCs w:val="24"/>
              </w:rPr>
            </w:pPr>
            <w:r w:rsidRPr="007F32A3">
              <w:rPr>
                <w:rFonts w:ascii="Times New Roman" w:eastAsia="新細明體" w:hAnsi="Times New Roman" w:cs="Times New Roman"/>
                <w:kern w:val="0"/>
                <w:szCs w:val="24"/>
                <w:vertAlign w:val="superscript"/>
              </w:rPr>
              <w:t>***</w:t>
            </w:r>
          </w:p>
        </w:tc>
      </w:tr>
    </w:tbl>
    <w:p w:rsidR="00C50EB0" w:rsidRPr="007F32A3" w:rsidRDefault="00C50EB0" w:rsidP="00C50EB0">
      <w:pPr>
        <w:pStyle w:val="a3"/>
        <w:tabs>
          <w:tab w:val="left" w:pos="212"/>
        </w:tabs>
        <w:adjustRightInd w:val="0"/>
        <w:ind w:left="180" w:hangingChars="100" w:hanging="180"/>
        <w:rPr>
          <w:rFonts w:eastAsia="標楷體"/>
          <w:sz w:val="18"/>
          <w:szCs w:val="18"/>
        </w:rPr>
      </w:pPr>
      <w:r w:rsidRPr="007F32A3">
        <w:rPr>
          <w:rFonts w:eastAsia="標楷體"/>
          <w:sz w:val="18"/>
          <w:szCs w:val="18"/>
        </w:rPr>
        <w:t>1.</w:t>
      </w:r>
      <w:r w:rsidRPr="007F32A3">
        <w:rPr>
          <w:rFonts w:eastAsia="標楷體"/>
          <w:sz w:val="18"/>
          <w:szCs w:val="18"/>
        </w:rPr>
        <w:tab/>
      </w:r>
      <w:r w:rsidRPr="007F32A3">
        <w:t xml:space="preserve">KAM 1 – 6 represent the six KAM content quality related criteria indexes, which KAM 1 is a dummy variable of whether the matter discussed should be considered as a KAM, for that is the matter should be considered as a KAM denote 1, and 0 otherwise; KAM 2 is a dummy variable of whether the discussion of KAM provided linkage to a specific level of the account it mentioned,  for that provided linkage to a specific level denote 1, and 0 otherwise; KAM 3 is a dummy variable of whether excessive standardized phraseology is used to discuss KAM, for that excessive standardized phraseology is </w:t>
      </w:r>
      <w:r w:rsidRPr="007F32A3">
        <w:rPr>
          <w:i/>
        </w:rPr>
        <w:t xml:space="preserve">not </w:t>
      </w:r>
      <w:r w:rsidRPr="007F32A3">
        <w:t xml:space="preserve">used denote 1, and 0 otherwise; KAM 4 is a dummy variable of whether the content of KAM provides the index of KAM-related disclosure in financial reports, for that provides the index of KAM-related disclosure in financial reports denote 1, and 0 otherwise; KAM 5 is a dummy variable of whether the </w:t>
      </w:r>
      <w:r w:rsidRPr="007F32A3">
        <w:lastRenderedPageBreak/>
        <w:t xml:space="preserve">title of KAM is appropriate, for that the title of KAM is appropriate denote 1, and 0 otherwise; and KAM 5 is a dummy variable of whether the note of KAM is adequate, for that the note of KAM is adequate denote 1, and 0 otherwise. </w:t>
      </w:r>
      <w:r w:rsidRPr="007F32A3">
        <w:rPr>
          <w:rFonts w:eastAsia="標楷體"/>
          <w:sz w:val="18"/>
          <w:szCs w:val="18"/>
        </w:rPr>
        <w:t>Definition of other variables are the same as that in Table 2.</w:t>
      </w:r>
    </w:p>
    <w:p w:rsidR="00C50EB0" w:rsidRPr="007F32A3" w:rsidRDefault="00C50EB0" w:rsidP="00C50EB0">
      <w:pPr>
        <w:autoSpaceDE w:val="0"/>
        <w:autoSpaceDN w:val="0"/>
        <w:adjustRightInd w:val="0"/>
        <w:snapToGrid w:val="0"/>
        <w:jc w:val="both"/>
        <w:rPr>
          <w:rFonts w:ascii="Times New Roman" w:hAnsi="Times New Roman" w:cs="Times New Roman"/>
          <w:sz w:val="20"/>
          <w:szCs w:val="20"/>
        </w:rPr>
      </w:pPr>
      <w:r w:rsidRPr="007F32A3">
        <w:rPr>
          <w:rFonts w:ascii="Times New Roman" w:eastAsia="標楷體" w:hAnsi="Times New Roman" w:cs="Times New Roman"/>
          <w:sz w:val="18"/>
          <w:szCs w:val="18"/>
        </w:rPr>
        <w:t xml:space="preserve">2. </w:t>
      </w:r>
      <w:r w:rsidRPr="007F32A3">
        <w:rPr>
          <w:rFonts w:ascii="Times New Roman" w:eastAsia="標楷體" w:hAnsi="Times New Roman" w:cs="Times New Roman"/>
          <w:i/>
          <w:sz w:val="18"/>
          <w:szCs w:val="18"/>
        </w:rPr>
        <w:t>p</w:t>
      </w:r>
      <w:r w:rsidRPr="007F32A3">
        <w:rPr>
          <w:rFonts w:ascii="Times New Roman" w:eastAsia="標楷體" w:hAnsi="Times New Roman" w:cs="Times New Roman"/>
          <w:sz w:val="18"/>
          <w:szCs w:val="18"/>
        </w:rPr>
        <w:t xml:space="preserve">-values in parentheses </w:t>
      </w:r>
      <w:r w:rsidRPr="007F32A3">
        <w:rPr>
          <w:rFonts w:ascii="Times New Roman" w:eastAsia="標楷體" w:hAnsi="Times New Roman" w:cs="Times New Roman"/>
          <w:sz w:val="18"/>
          <w:szCs w:val="18"/>
          <w:vertAlign w:val="superscript"/>
        </w:rPr>
        <w:t>*</w:t>
      </w:r>
      <w:r w:rsidRPr="007F32A3">
        <w:rPr>
          <w:rFonts w:ascii="Times New Roman" w:eastAsia="標楷體" w:hAnsi="Times New Roman" w:cs="Times New Roman"/>
          <w:sz w:val="18"/>
          <w:szCs w:val="18"/>
        </w:rPr>
        <w:t xml:space="preserve"> p&lt;0.1, </w:t>
      </w:r>
      <w:r w:rsidRPr="007F32A3">
        <w:rPr>
          <w:rFonts w:ascii="Times New Roman" w:eastAsia="標楷體" w:hAnsi="Times New Roman" w:cs="Times New Roman"/>
          <w:sz w:val="18"/>
          <w:szCs w:val="18"/>
          <w:vertAlign w:val="superscript"/>
        </w:rPr>
        <w:t>**</w:t>
      </w:r>
      <w:r w:rsidRPr="007F32A3">
        <w:rPr>
          <w:rFonts w:ascii="Times New Roman" w:eastAsia="標楷體" w:hAnsi="Times New Roman" w:cs="Times New Roman"/>
          <w:sz w:val="18"/>
          <w:szCs w:val="18"/>
        </w:rPr>
        <w:t xml:space="preserve"> p&lt;0.05, </w:t>
      </w:r>
      <w:r w:rsidRPr="007F32A3">
        <w:rPr>
          <w:rFonts w:ascii="Times New Roman" w:eastAsia="標楷體" w:hAnsi="Times New Roman" w:cs="Times New Roman"/>
          <w:sz w:val="18"/>
          <w:szCs w:val="18"/>
          <w:vertAlign w:val="superscript"/>
        </w:rPr>
        <w:t>***</w:t>
      </w:r>
      <w:r w:rsidRPr="007F32A3">
        <w:rPr>
          <w:rFonts w:ascii="Times New Roman" w:eastAsia="標楷體" w:hAnsi="Times New Roman" w:cs="Times New Roman"/>
          <w:sz w:val="18"/>
          <w:szCs w:val="18"/>
        </w:rPr>
        <w:t xml:space="preserve"> p&lt;0.01.</w:t>
      </w:r>
    </w:p>
    <w:sectPr w:rsidR="00C50EB0" w:rsidRPr="007F32A3" w:rsidSect="005F2D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F1" w:rsidRDefault="002C11F1" w:rsidP="0053221B">
      <w:r>
        <w:separator/>
      </w:r>
    </w:p>
  </w:endnote>
  <w:endnote w:type="continuationSeparator" w:id="0">
    <w:p w:rsidR="002C11F1" w:rsidRDefault="002C11F1" w:rsidP="0053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AdvArial">
    <w:altName w:val="Malgun Gothic Semilight"/>
    <w:panose1 w:val="00000000000000000000"/>
    <w:charset w:val="88"/>
    <w:family w:val="auto"/>
    <w:notTrueType/>
    <w:pitch w:val="default"/>
    <w:sig w:usb0="00000001" w:usb1="08080000" w:usb2="00000010" w:usb3="00000000" w:csb0="00100000" w:csb1="00000000"/>
  </w:font>
  <w:font w:name="Times-Roman">
    <w:altName w:val="Malgun Gothic Semilight"/>
    <w:panose1 w:val="00000000000000000000"/>
    <w:charset w:val="88"/>
    <w:family w:val="auto"/>
    <w:notTrueType/>
    <w:pitch w:val="default"/>
    <w:sig w:usb0="00000000" w:usb1="08080000" w:usb2="00000010" w:usb3="00000000" w:csb0="00100001" w:csb1="00000000"/>
  </w:font>
  <w:font w:name="Palatino1-Roman">
    <w:altName w:val="細明體"/>
    <w:panose1 w:val="00000000000000000000"/>
    <w:charset w:val="88"/>
    <w:family w:val="auto"/>
    <w:notTrueType/>
    <w:pitch w:val="default"/>
    <w:sig w:usb0="00000000" w:usb1="08080000" w:usb2="00000010" w:usb3="00000000" w:csb0="00100001" w:csb1="00000000"/>
  </w:font>
  <w:font w:name="ArialUnicodeMS">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94894"/>
      <w:docPartObj>
        <w:docPartGallery w:val="Page Numbers (Bottom of Page)"/>
        <w:docPartUnique/>
      </w:docPartObj>
    </w:sdtPr>
    <w:sdtEndPr>
      <w:rPr>
        <w:rFonts w:ascii="Times New Roman" w:hAnsi="Times New Roman" w:cs="Times New Roman"/>
      </w:rPr>
    </w:sdtEndPr>
    <w:sdtContent>
      <w:p w:rsidR="00AD0E90" w:rsidRPr="007B42E8" w:rsidRDefault="00AD0E90">
        <w:pPr>
          <w:pStyle w:val="a8"/>
          <w:jc w:val="center"/>
          <w:rPr>
            <w:rFonts w:ascii="Times New Roman" w:hAnsi="Times New Roman" w:cs="Times New Roman"/>
          </w:rPr>
        </w:pPr>
        <w:r w:rsidRPr="007B42E8">
          <w:rPr>
            <w:rFonts w:ascii="Times New Roman" w:hAnsi="Times New Roman" w:cs="Times New Roman"/>
          </w:rPr>
          <w:fldChar w:fldCharType="begin"/>
        </w:r>
        <w:r w:rsidRPr="007B42E8">
          <w:rPr>
            <w:rFonts w:ascii="Times New Roman" w:hAnsi="Times New Roman" w:cs="Times New Roman"/>
          </w:rPr>
          <w:instrText>PAGE   \* MERGEFORMAT</w:instrText>
        </w:r>
        <w:r w:rsidRPr="007B42E8">
          <w:rPr>
            <w:rFonts w:ascii="Times New Roman" w:hAnsi="Times New Roman" w:cs="Times New Roman"/>
          </w:rPr>
          <w:fldChar w:fldCharType="separate"/>
        </w:r>
        <w:r w:rsidR="007F32A3" w:rsidRPr="007F32A3">
          <w:rPr>
            <w:rFonts w:ascii="Times New Roman" w:hAnsi="Times New Roman" w:cs="Times New Roman"/>
            <w:noProof/>
            <w:lang w:val="zh-TW"/>
          </w:rPr>
          <w:t>4</w:t>
        </w:r>
        <w:r w:rsidRPr="007B42E8">
          <w:rPr>
            <w:rFonts w:ascii="Times New Roman" w:hAnsi="Times New Roman" w:cs="Times New Roman"/>
          </w:rPr>
          <w:fldChar w:fldCharType="end"/>
        </w:r>
      </w:p>
    </w:sdtContent>
  </w:sdt>
  <w:p w:rsidR="00AD0E90" w:rsidRDefault="00AD0E90" w:rsidP="007B42E8">
    <w:pPr>
      <w:pStyle w:val="a8"/>
      <w:tabs>
        <w:tab w:val="clear" w:pos="4153"/>
        <w:tab w:val="clear" w:pos="8306"/>
        <w:tab w:val="left" w:pos="5449"/>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F1" w:rsidRDefault="002C11F1" w:rsidP="0053221B">
      <w:r>
        <w:separator/>
      </w:r>
    </w:p>
  </w:footnote>
  <w:footnote w:type="continuationSeparator" w:id="0">
    <w:p w:rsidR="002C11F1" w:rsidRDefault="002C11F1" w:rsidP="0053221B">
      <w:r>
        <w:continuationSeparator/>
      </w:r>
    </w:p>
  </w:footnote>
  <w:footnote w:id="1">
    <w:p w:rsidR="00AD0E90" w:rsidRPr="00457E4E" w:rsidRDefault="00AD0E90" w:rsidP="00016A09">
      <w:pPr>
        <w:pStyle w:val="a3"/>
        <w:ind w:left="300" w:hangingChars="150" w:hanging="300"/>
      </w:pPr>
      <w:r>
        <w:rPr>
          <w:rStyle w:val="a5"/>
        </w:rPr>
        <w:footnoteRef/>
      </w:r>
      <w:r w:rsidDel="00371246">
        <w:t xml:space="preserve">  </w:t>
      </w:r>
      <w:r w:rsidRPr="00457E4E">
        <w:t>The PCAOB audit reporting initiative refers to these matters as critical audit matters (CAMs) and the IAASB ISA and Taiwan ARDF as key audit matters (KAMs). For ease of exposition, we elect to use the term KAMs throughout this study unless specifically referr</w:t>
      </w:r>
      <w:r>
        <w:t>ing</w:t>
      </w:r>
      <w:r w:rsidRPr="00457E4E">
        <w:t xml:space="preserve"> to that of PCAOB.</w:t>
      </w:r>
    </w:p>
  </w:footnote>
  <w:footnote w:id="2">
    <w:p w:rsidR="00AD0E90" w:rsidRPr="00FA17EE" w:rsidRDefault="00AD0E90" w:rsidP="00FA17EE">
      <w:pPr>
        <w:pStyle w:val="a3"/>
        <w:ind w:left="300" w:hangingChars="150" w:hanging="300"/>
      </w:pPr>
      <w:r w:rsidRPr="00C47AA0">
        <w:rPr>
          <w:rFonts w:eastAsia="標楷體"/>
        </w:rPr>
        <w:footnoteRef/>
      </w:r>
      <w:r w:rsidRPr="00C47AA0" w:rsidDel="00371246">
        <w:rPr>
          <w:rFonts w:eastAsia="標楷體"/>
        </w:rPr>
        <w:t xml:space="preserve"> </w:t>
      </w:r>
      <w:r w:rsidDel="00371246">
        <w:rPr>
          <w:rFonts w:eastAsia="標楷體" w:hint="eastAsia"/>
        </w:rPr>
        <w:t xml:space="preserve"> </w:t>
      </w:r>
      <w:r>
        <w:t>E</w:t>
      </w:r>
      <w:r w:rsidRPr="00FA17EE">
        <w:t xml:space="preserve">arlier studies have addressed auditor industry specialization issues using audit firm size settings and assumed better industry knowledge and experience for large audit firms (e.g., Becker, DeFond, Jiambalvo, </w:t>
      </w:r>
      <w:r>
        <w:t>and</w:t>
      </w:r>
      <w:r w:rsidRPr="00FA17EE">
        <w:t xml:space="preserve"> Subramanyam, 1998; Francis et al., 1999; Reynolds </w:t>
      </w:r>
      <w:r>
        <w:t>and</w:t>
      </w:r>
      <w:r w:rsidRPr="00FA17EE">
        <w:t xml:space="preserve"> Francis, 2000).</w:t>
      </w:r>
    </w:p>
  </w:footnote>
  <w:footnote w:id="3">
    <w:p w:rsidR="00AD0E90" w:rsidRPr="00F259F6" w:rsidRDefault="00AD0E90" w:rsidP="00C450B5">
      <w:pPr>
        <w:pStyle w:val="a3"/>
        <w:ind w:left="260" w:hangingChars="130" w:hanging="260"/>
      </w:pPr>
      <w:r w:rsidRPr="00F259F6">
        <w:rPr>
          <w:rStyle w:val="a5"/>
        </w:rPr>
        <w:footnoteRef/>
      </w:r>
      <w:r>
        <w:t xml:space="preserve">  </w:t>
      </w:r>
      <w:r w:rsidRPr="00F259F6">
        <w:t>PCAOB had proposed the standard “Proposed Auditing Standard on the Auditor’s Report on an Audit of Financial Statements when the Auditor Expresses an Unqualified Opinion” in 2013 and reproposed this standard in 2016, which would supersede portions of AS 3101 “Reports on Audited Financial Statements” and related amendments to PCAOB standards.</w:t>
      </w:r>
      <w:r>
        <w:t xml:space="preserve"> On June 1, 2017, the PCAOB adopted the new auditing standard and related amendments require auditors to include in the auditor’s report a discussion of the critical audit matters (CAMs). The standard “</w:t>
      </w:r>
      <w:r w:rsidRPr="00702736">
        <w:t>Communication of CAMs for audi</w:t>
      </w:r>
      <w:r>
        <w:t xml:space="preserve">ts of large accelerated filers” will be effective for </w:t>
      </w:r>
      <w:r w:rsidRPr="00702736">
        <w:t>audits for fiscal years ending on or after June 30, 2019</w:t>
      </w:r>
      <w:r>
        <w:t>.</w:t>
      </w:r>
    </w:p>
  </w:footnote>
  <w:footnote w:id="4">
    <w:p w:rsidR="00AD0E90" w:rsidRPr="00771D9D" w:rsidRDefault="00AD0E90" w:rsidP="00AE3D06">
      <w:pPr>
        <w:pStyle w:val="a3"/>
        <w:adjustRightInd w:val="0"/>
        <w:ind w:left="290" w:hangingChars="145" w:hanging="290"/>
        <w:rPr>
          <w:sz w:val="16"/>
          <w:szCs w:val="16"/>
        </w:rPr>
      </w:pPr>
      <w:r w:rsidRPr="00975CFD">
        <w:rPr>
          <w:rStyle w:val="a5"/>
        </w:rPr>
        <w:footnoteRef/>
      </w:r>
      <w:r>
        <w:rPr>
          <w:rFonts w:hint="eastAsia"/>
        </w:rPr>
        <w:t xml:space="preserve">  </w:t>
      </w:r>
      <w:r w:rsidRPr="00771D9D">
        <w:rPr>
          <w:rFonts w:hint="eastAsia"/>
        </w:rPr>
        <w:t>Although</w:t>
      </w:r>
      <w:r w:rsidRPr="00771D9D">
        <w:t xml:space="preserve"> most prior studies have used market share as a proxy for an audit firm’s or auditor’s specialization, they have based the use on different definitions of market share</w:t>
      </w:r>
      <w:r w:rsidRPr="00771D9D">
        <w:rPr>
          <w:rFonts w:hint="eastAsia"/>
        </w:rPr>
        <w:t xml:space="preserve"> such as clients</w:t>
      </w:r>
      <w:r w:rsidRPr="00771D9D">
        <w:t>’</w:t>
      </w:r>
      <w:r w:rsidRPr="00771D9D">
        <w:rPr>
          <w:rFonts w:hint="eastAsia"/>
        </w:rPr>
        <w:t xml:space="preserve"> sales, clients</w:t>
      </w:r>
      <w:r w:rsidRPr="00771D9D">
        <w:t>’</w:t>
      </w:r>
      <w:r w:rsidRPr="00771D9D">
        <w:rPr>
          <w:rFonts w:hint="eastAsia"/>
        </w:rPr>
        <w:t xml:space="preserve"> assets, clients numbers, audit fee and so on.</w:t>
      </w:r>
    </w:p>
  </w:footnote>
  <w:footnote w:id="5">
    <w:p w:rsidR="00AD0E90" w:rsidRPr="00771D9D" w:rsidRDefault="00AD0E90" w:rsidP="00AE3D06">
      <w:pPr>
        <w:autoSpaceDE w:val="0"/>
        <w:autoSpaceDN w:val="0"/>
        <w:adjustRightInd w:val="0"/>
        <w:snapToGrid w:val="0"/>
        <w:ind w:left="290" w:hangingChars="145" w:hanging="290"/>
        <w:rPr>
          <w:rFonts w:ascii="Times New Roman" w:eastAsia="新細明體" w:hAnsi="Times New Roman" w:cs="Times New Roman"/>
          <w:sz w:val="16"/>
          <w:szCs w:val="16"/>
        </w:rPr>
      </w:pPr>
      <w:r w:rsidRPr="00771D9D">
        <w:rPr>
          <w:rFonts w:ascii="Times New Roman" w:eastAsia="新細明體" w:hAnsi="Times New Roman" w:cs="Times New Roman"/>
          <w:sz w:val="20"/>
          <w:szCs w:val="20"/>
          <w:vertAlign w:val="superscript"/>
        </w:rPr>
        <w:footnoteRef/>
      </w:r>
      <w:r w:rsidRPr="00771D9D">
        <w:rPr>
          <w:rFonts w:ascii="Times New Roman" w:eastAsia="新細明體" w:hAnsi="Times New Roman" w:cs="Times New Roman" w:hint="eastAsia"/>
          <w:sz w:val="20"/>
          <w:szCs w:val="20"/>
        </w:rPr>
        <w:t xml:space="preserve">  In our main analyses, we use the largest market share to identify the industry specialist according to Chi and Chin (2009) who explore the influence of auditor industry specialization of accounting restatement in Taiwan. Besides, since p</w:t>
      </w:r>
      <w:r w:rsidRPr="00771D9D">
        <w:rPr>
          <w:rFonts w:ascii="Times New Roman" w:eastAsia="新細明體" w:hAnsi="Times New Roman" w:cs="Times New Roman"/>
          <w:sz w:val="20"/>
          <w:szCs w:val="20"/>
        </w:rPr>
        <w:t>rior studies have used arbitrary market share percentages, such as 10%, 15%, or 30%, to denote auditor industry expertise (Craswell et al. 1995; Ferguson and Stokes 2002; Cenker and Nagy 2008)</w:t>
      </w:r>
      <w:r w:rsidRPr="00771D9D">
        <w:rPr>
          <w:rFonts w:ascii="Times New Roman" w:eastAsia="新細明體" w:hAnsi="Times New Roman" w:cs="Times New Roman" w:hint="eastAsia"/>
          <w:sz w:val="20"/>
          <w:szCs w:val="20"/>
        </w:rPr>
        <w:t xml:space="preserve">, we will consider other proper cutoff point for the specialist distribution for sensitive </w:t>
      </w:r>
      <w:r w:rsidRPr="00771D9D">
        <w:rPr>
          <w:rFonts w:ascii="Times New Roman" w:eastAsia="新細明體" w:hAnsi="Times New Roman" w:cs="Times New Roman"/>
          <w:sz w:val="20"/>
          <w:szCs w:val="20"/>
        </w:rPr>
        <w:t>analyses.</w:t>
      </w:r>
    </w:p>
  </w:footnote>
  <w:footnote w:id="6">
    <w:p w:rsidR="00AD0E90" w:rsidRPr="00975CFD" w:rsidRDefault="00AD0E90" w:rsidP="00AE3D06">
      <w:pPr>
        <w:autoSpaceDE w:val="0"/>
        <w:autoSpaceDN w:val="0"/>
        <w:adjustRightInd w:val="0"/>
        <w:snapToGrid w:val="0"/>
        <w:ind w:left="300" w:hangingChars="150" w:hanging="300"/>
        <w:rPr>
          <w:kern w:val="0"/>
          <w:sz w:val="20"/>
          <w:szCs w:val="20"/>
        </w:rPr>
      </w:pPr>
      <w:r w:rsidRPr="00771D9D">
        <w:rPr>
          <w:rFonts w:ascii="Times New Roman" w:eastAsia="新細明體" w:hAnsi="Times New Roman" w:cs="Times New Roman"/>
          <w:sz w:val="20"/>
          <w:szCs w:val="20"/>
          <w:vertAlign w:val="superscript"/>
        </w:rPr>
        <w:footnoteRef/>
      </w:r>
      <w:r>
        <w:rPr>
          <w:rFonts w:ascii="Times New Roman" w:eastAsia="新細明體" w:hAnsi="Times New Roman" w:cs="Times New Roman"/>
          <w:sz w:val="20"/>
          <w:szCs w:val="20"/>
        </w:rPr>
        <w:t xml:space="preserve">  </w:t>
      </w:r>
      <w:r w:rsidRPr="00771D9D">
        <w:rPr>
          <w:rFonts w:ascii="Times New Roman" w:eastAsia="新細明體" w:hAnsi="Times New Roman" w:cs="Times New Roman"/>
          <w:sz w:val="20"/>
          <w:szCs w:val="20"/>
        </w:rPr>
        <w:t xml:space="preserve">In Taiwan, public companies </w:t>
      </w:r>
      <w:r w:rsidRPr="00771D9D">
        <w:rPr>
          <w:rFonts w:ascii="Times New Roman" w:eastAsia="新細明體" w:hAnsi="Times New Roman" w:cs="Times New Roman" w:hint="eastAsia"/>
          <w:sz w:val="20"/>
          <w:szCs w:val="20"/>
        </w:rPr>
        <w:t xml:space="preserve">are required to engage two audit partners to audit their financial reports </w:t>
      </w:r>
      <w:r w:rsidRPr="00771D9D">
        <w:rPr>
          <w:rFonts w:ascii="Times New Roman" w:eastAsia="新細明體" w:hAnsi="Times New Roman" w:cs="Times New Roman"/>
          <w:sz w:val="20"/>
          <w:szCs w:val="20"/>
        </w:rPr>
        <w:t xml:space="preserve">and both </w:t>
      </w:r>
      <w:r w:rsidRPr="00771D9D">
        <w:rPr>
          <w:rFonts w:ascii="Times New Roman" w:eastAsia="新細明體" w:hAnsi="Times New Roman" w:cs="Times New Roman" w:hint="eastAsia"/>
          <w:sz w:val="20"/>
          <w:szCs w:val="20"/>
        </w:rPr>
        <w:t>auditors have to</w:t>
      </w:r>
      <w:r w:rsidRPr="00771D9D">
        <w:rPr>
          <w:rFonts w:ascii="Times New Roman" w:eastAsia="新細明體" w:hAnsi="Times New Roman" w:cs="Times New Roman"/>
          <w:sz w:val="20"/>
          <w:szCs w:val="20"/>
        </w:rPr>
        <w:t xml:space="preserve"> sign </w:t>
      </w:r>
      <w:r w:rsidRPr="00771D9D">
        <w:rPr>
          <w:rFonts w:ascii="Times New Roman" w:eastAsia="新細明體" w:hAnsi="Times New Roman" w:cs="Times New Roman" w:hint="eastAsia"/>
          <w:sz w:val="20"/>
          <w:szCs w:val="20"/>
        </w:rPr>
        <w:t>for the</w:t>
      </w:r>
      <w:r w:rsidRPr="00771D9D">
        <w:rPr>
          <w:rFonts w:ascii="Times New Roman" w:eastAsia="新細明體" w:hAnsi="Times New Roman" w:cs="Times New Roman"/>
          <w:sz w:val="20"/>
          <w:szCs w:val="20"/>
        </w:rPr>
        <w:t xml:space="preserve"> audit reports.</w:t>
      </w:r>
    </w:p>
  </w:footnote>
  <w:footnote w:id="7">
    <w:p w:rsidR="00AD0E90" w:rsidRDefault="00AD0E90" w:rsidP="00300576">
      <w:pPr>
        <w:pStyle w:val="a3"/>
        <w:ind w:left="290" w:hangingChars="145" w:hanging="290"/>
      </w:pPr>
      <w:r>
        <w:rPr>
          <w:rStyle w:val="a5"/>
        </w:rPr>
        <w:footnoteRef/>
      </w:r>
      <w:r>
        <w:t xml:space="preserve">  </w:t>
      </w:r>
      <w:r w:rsidRPr="00B635F5">
        <w:rPr>
          <w:kern w:val="0"/>
        </w:rPr>
        <w:t>Since</w:t>
      </w:r>
      <w:r w:rsidRPr="00B635F5">
        <w:rPr>
          <w:rFonts w:hint="eastAsia"/>
          <w:kern w:val="0"/>
        </w:rPr>
        <w:t xml:space="preserve"> prior studies of audit opinion mainly focused on </w:t>
      </w:r>
      <w:r w:rsidRPr="00B635F5">
        <w:rPr>
          <w:kern w:val="0"/>
        </w:rPr>
        <w:t xml:space="preserve">the issuing of </w:t>
      </w:r>
      <w:r>
        <w:rPr>
          <w:kern w:val="0"/>
        </w:rPr>
        <w:t xml:space="preserve">a </w:t>
      </w:r>
      <w:r w:rsidRPr="00B635F5">
        <w:rPr>
          <w:kern w:val="0"/>
        </w:rPr>
        <w:t>going-concern opinion, the influential factors of financial distress are mainly considered in their regressions. For the reason that</w:t>
      </w:r>
      <w:r>
        <w:rPr>
          <w:kern w:val="0"/>
        </w:rPr>
        <w:t xml:space="preserve"> </w:t>
      </w:r>
      <w:r w:rsidRPr="00B635F5">
        <w:rPr>
          <w:kern w:val="0"/>
        </w:rPr>
        <w:t xml:space="preserve">the focus of this study </w:t>
      </w:r>
      <w:r>
        <w:rPr>
          <w:kern w:val="0"/>
        </w:rPr>
        <w:t>is on</w:t>
      </w:r>
      <w:r w:rsidRPr="00B635F5">
        <w:rPr>
          <w:kern w:val="0"/>
        </w:rPr>
        <w:t xml:space="preserve"> the type of KAM rather than the going-concern opinion, this study will not include all variables suggested by prior studies.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2C17"/>
    <w:multiLevelType w:val="hybridMultilevel"/>
    <w:tmpl w:val="4282EDD2"/>
    <w:lvl w:ilvl="0" w:tplc="E76A6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C90575"/>
    <w:multiLevelType w:val="hybridMultilevel"/>
    <w:tmpl w:val="B6CE8890"/>
    <w:lvl w:ilvl="0" w:tplc="9C46DA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CE"/>
    <w:rsid w:val="000028B4"/>
    <w:rsid w:val="00006C07"/>
    <w:rsid w:val="00013672"/>
    <w:rsid w:val="00014146"/>
    <w:rsid w:val="00016A09"/>
    <w:rsid w:val="0002186D"/>
    <w:rsid w:val="00026F37"/>
    <w:rsid w:val="00035C84"/>
    <w:rsid w:val="00057227"/>
    <w:rsid w:val="00060713"/>
    <w:rsid w:val="0007226D"/>
    <w:rsid w:val="000730E6"/>
    <w:rsid w:val="00073FDB"/>
    <w:rsid w:val="00074B49"/>
    <w:rsid w:val="00080563"/>
    <w:rsid w:val="00083C0C"/>
    <w:rsid w:val="00094F53"/>
    <w:rsid w:val="000A6EE6"/>
    <w:rsid w:val="000A77EA"/>
    <w:rsid w:val="000B0512"/>
    <w:rsid w:val="000C3BDC"/>
    <w:rsid w:val="000D24A0"/>
    <w:rsid w:val="000F18BF"/>
    <w:rsid w:val="000F3250"/>
    <w:rsid w:val="000F52C0"/>
    <w:rsid w:val="001061FB"/>
    <w:rsid w:val="001077B7"/>
    <w:rsid w:val="001137CE"/>
    <w:rsid w:val="00115A68"/>
    <w:rsid w:val="001270A8"/>
    <w:rsid w:val="001B3952"/>
    <w:rsid w:val="001C7169"/>
    <w:rsid w:val="001D57D1"/>
    <w:rsid w:val="001E0215"/>
    <w:rsid w:val="001F018A"/>
    <w:rsid w:val="002000EF"/>
    <w:rsid w:val="00201A23"/>
    <w:rsid w:val="0020334E"/>
    <w:rsid w:val="00215E11"/>
    <w:rsid w:val="00224A15"/>
    <w:rsid w:val="00231186"/>
    <w:rsid w:val="00232C20"/>
    <w:rsid w:val="00233B59"/>
    <w:rsid w:val="00233E22"/>
    <w:rsid w:val="00252E1F"/>
    <w:rsid w:val="00253CD9"/>
    <w:rsid w:val="0026339E"/>
    <w:rsid w:val="00275560"/>
    <w:rsid w:val="002809C0"/>
    <w:rsid w:val="0028101B"/>
    <w:rsid w:val="00282E73"/>
    <w:rsid w:val="00286FDB"/>
    <w:rsid w:val="00290D0D"/>
    <w:rsid w:val="00290E95"/>
    <w:rsid w:val="002923F5"/>
    <w:rsid w:val="00292820"/>
    <w:rsid w:val="002B2004"/>
    <w:rsid w:val="002B4458"/>
    <w:rsid w:val="002C11F1"/>
    <w:rsid w:val="002E760A"/>
    <w:rsid w:val="002F47A2"/>
    <w:rsid w:val="00300576"/>
    <w:rsid w:val="00314FA7"/>
    <w:rsid w:val="00331237"/>
    <w:rsid w:val="00337E4D"/>
    <w:rsid w:val="00337F4B"/>
    <w:rsid w:val="0036669B"/>
    <w:rsid w:val="00366C02"/>
    <w:rsid w:val="00371246"/>
    <w:rsid w:val="00375B38"/>
    <w:rsid w:val="00381474"/>
    <w:rsid w:val="003827C2"/>
    <w:rsid w:val="003C0BE9"/>
    <w:rsid w:val="003E272C"/>
    <w:rsid w:val="00420586"/>
    <w:rsid w:val="00421FC7"/>
    <w:rsid w:val="00450621"/>
    <w:rsid w:val="00453FC5"/>
    <w:rsid w:val="004562AB"/>
    <w:rsid w:val="00457E4E"/>
    <w:rsid w:val="00462A97"/>
    <w:rsid w:val="00472DA8"/>
    <w:rsid w:val="00473CDA"/>
    <w:rsid w:val="00476007"/>
    <w:rsid w:val="00480E2C"/>
    <w:rsid w:val="004824BA"/>
    <w:rsid w:val="00490965"/>
    <w:rsid w:val="0049200A"/>
    <w:rsid w:val="00494A8E"/>
    <w:rsid w:val="004969D0"/>
    <w:rsid w:val="00496A54"/>
    <w:rsid w:val="004A3D70"/>
    <w:rsid w:val="004B648E"/>
    <w:rsid w:val="004C3A40"/>
    <w:rsid w:val="004E33FA"/>
    <w:rsid w:val="004F47A1"/>
    <w:rsid w:val="005014FD"/>
    <w:rsid w:val="005155DD"/>
    <w:rsid w:val="00517537"/>
    <w:rsid w:val="005260DE"/>
    <w:rsid w:val="00530B1C"/>
    <w:rsid w:val="00530F1F"/>
    <w:rsid w:val="0053221B"/>
    <w:rsid w:val="00532FAB"/>
    <w:rsid w:val="005331D8"/>
    <w:rsid w:val="00540744"/>
    <w:rsid w:val="00550544"/>
    <w:rsid w:val="00563A21"/>
    <w:rsid w:val="005659A1"/>
    <w:rsid w:val="00570FD0"/>
    <w:rsid w:val="005819A8"/>
    <w:rsid w:val="00583B63"/>
    <w:rsid w:val="00591981"/>
    <w:rsid w:val="00597341"/>
    <w:rsid w:val="005A1179"/>
    <w:rsid w:val="005A20CB"/>
    <w:rsid w:val="005B4642"/>
    <w:rsid w:val="005B6300"/>
    <w:rsid w:val="005C0BF7"/>
    <w:rsid w:val="005D2B04"/>
    <w:rsid w:val="005D4489"/>
    <w:rsid w:val="005D5716"/>
    <w:rsid w:val="005E5117"/>
    <w:rsid w:val="005F2DF6"/>
    <w:rsid w:val="005F3F2F"/>
    <w:rsid w:val="005F4D0D"/>
    <w:rsid w:val="00601A06"/>
    <w:rsid w:val="00604F49"/>
    <w:rsid w:val="0061290E"/>
    <w:rsid w:val="006130AF"/>
    <w:rsid w:val="00614937"/>
    <w:rsid w:val="00633C4E"/>
    <w:rsid w:val="00636CB1"/>
    <w:rsid w:val="006403D5"/>
    <w:rsid w:val="00654594"/>
    <w:rsid w:val="00680773"/>
    <w:rsid w:val="00681E10"/>
    <w:rsid w:val="0068734C"/>
    <w:rsid w:val="006A6CC4"/>
    <w:rsid w:val="006C3321"/>
    <w:rsid w:val="006D0432"/>
    <w:rsid w:val="006D60F3"/>
    <w:rsid w:val="006E2F22"/>
    <w:rsid w:val="006E784D"/>
    <w:rsid w:val="00702736"/>
    <w:rsid w:val="007105D2"/>
    <w:rsid w:val="007158F9"/>
    <w:rsid w:val="007172B6"/>
    <w:rsid w:val="00723D56"/>
    <w:rsid w:val="007243C9"/>
    <w:rsid w:val="00756F2F"/>
    <w:rsid w:val="007609B6"/>
    <w:rsid w:val="007613D1"/>
    <w:rsid w:val="00771D9D"/>
    <w:rsid w:val="00776D0A"/>
    <w:rsid w:val="007815EC"/>
    <w:rsid w:val="00784906"/>
    <w:rsid w:val="007A3C2F"/>
    <w:rsid w:val="007B3212"/>
    <w:rsid w:val="007B42E8"/>
    <w:rsid w:val="007F32A3"/>
    <w:rsid w:val="007F4DB7"/>
    <w:rsid w:val="007F7C4B"/>
    <w:rsid w:val="0082130A"/>
    <w:rsid w:val="0083362E"/>
    <w:rsid w:val="008368D2"/>
    <w:rsid w:val="00852C8E"/>
    <w:rsid w:val="00854C32"/>
    <w:rsid w:val="00860C87"/>
    <w:rsid w:val="00873D4D"/>
    <w:rsid w:val="00877DBA"/>
    <w:rsid w:val="008A1F0E"/>
    <w:rsid w:val="008A4323"/>
    <w:rsid w:val="008C15A6"/>
    <w:rsid w:val="008C45D7"/>
    <w:rsid w:val="008D6688"/>
    <w:rsid w:val="008E31A1"/>
    <w:rsid w:val="009046BA"/>
    <w:rsid w:val="00905A65"/>
    <w:rsid w:val="00914DC1"/>
    <w:rsid w:val="009451AF"/>
    <w:rsid w:val="00956D48"/>
    <w:rsid w:val="00962FCE"/>
    <w:rsid w:val="00976DF9"/>
    <w:rsid w:val="0098784F"/>
    <w:rsid w:val="009918A5"/>
    <w:rsid w:val="00993144"/>
    <w:rsid w:val="009976C9"/>
    <w:rsid w:val="009A0BE0"/>
    <w:rsid w:val="009B0291"/>
    <w:rsid w:val="009B1290"/>
    <w:rsid w:val="009C56FD"/>
    <w:rsid w:val="009D0527"/>
    <w:rsid w:val="009E7E32"/>
    <w:rsid w:val="009F0BB0"/>
    <w:rsid w:val="009F4167"/>
    <w:rsid w:val="00A0174F"/>
    <w:rsid w:val="00A227CE"/>
    <w:rsid w:val="00A369B6"/>
    <w:rsid w:val="00A4280B"/>
    <w:rsid w:val="00A4709B"/>
    <w:rsid w:val="00A54BDB"/>
    <w:rsid w:val="00A6552B"/>
    <w:rsid w:val="00A72E92"/>
    <w:rsid w:val="00A74046"/>
    <w:rsid w:val="00A82898"/>
    <w:rsid w:val="00A8593B"/>
    <w:rsid w:val="00A924FA"/>
    <w:rsid w:val="00AB0892"/>
    <w:rsid w:val="00AB3D4D"/>
    <w:rsid w:val="00AC2084"/>
    <w:rsid w:val="00AC65C4"/>
    <w:rsid w:val="00AD0E90"/>
    <w:rsid w:val="00AD4185"/>
    <w:rsid w:val="00AD7DF9"/>
    <w:rsid w:val="00AE06A6"/>
    <w:rsid w:val="00AE37FE"/>
    <w:rsid w:val="00AE3D06"/>
    <w:rsid w:val="00AE7379"/>
    <w:rsid w:val="00AE784D"/>
    <w:rsid w:val="00AF3890"/>
    <w:rsid w:val="00B044EB"/>
    <w:rsid w:val="00B12494"/>
    <w:rsid w:val="00B1403F"/>
    <w:rsid w:val="00B21D1D"/>
    <w:rsid w:val="00B30920"/>
    <w:rsid w:val="00B31438"/>
    <w:rsid w:val="00B3234D"/>
    <w:rsid w:val="00B404DD"/>
    <w:rsid w:val="00B40870"/>
    <w:rsid w:val="00B4663A"/>
    <w:rsid w:val="00B54939"/>
    <w:rsid w:val="00B559EB"/>
    <w:rsid w:val="00B55F18"/>
    <w:rsid w:val="00B804AC"/>
    <w:rsid w:val="00BB39FF"/>
    <w:rsid w:val="00BB6383"/>
    <w:rsid w:val="00BB732A"/>
    <w:rsid w:val="00BC3D9F"/>
    <w:rsid w:val="00BD102E"/>
    <w:rsid w:val="00BD3A9B"/>
    <w:rsid w:val="00BD3AE0"/>
    <w:rsid w:val="00BD4D6D"/>
    <w:rsid w:val="00BD621B"/>
    <w:rsid w:val="00BE68AD"/>
    <w:rsid w:val="00BF0161"/>
    <w:rsid w:val="00BF1BF8"/>
    <w:rsid w:val="00C0058F"/>
    <w:rsid w:val="00C029E2"/>
    <w:rsid w:val="00C15CA9"/>
    <w:rsid w:val="00C21480"/>
    <w:rsid w:val="00C30266"/>
    <w:rsid w:val="00C32F5D"/>
    <w:rsid w:val="00C450B5"/>
    <w:rsid w:val="00C46631"/>
    <w:rsid w:val="00C4760F"/>
    <w:rsid w:val="00C50EB0"/>
    <w:rsid w:val="00C53BFB"/>
    <w:rsid w:val="00C621A4"/>
    <w:rsid w:val="00C75F20"/>
    <w:rsid w:val="00C76822"/>
    <w:rsid w:val="00C8008D"/>
    <w:rsid w:val="00C807AC"/>
    <w:rsid w:val="00C825D1"/>
    <w:rsid w:val="00C8601C"/>
    <w:rsid w:val="00CA3E35"/>
    <w:rsid w:val="00CB51CE"/>
    <w:rsid w:val="00CC61A6"/>
    <w:rsid w:val="00CD6269"/>
    <w:rsid w:val="00CD7D54"/>
    <w:rsid w:val="00CE411D"/>
    <w:rsid w:val="00D019E4"/>
    <w:rsid w:val="00D0570C"/>
    <w:rsid w:val="00D101BE"/>
    <w:rsid w:val="00D13E93"/>
    <w:rsid w:val="00D152DE"/>
    <w:rsid w:val="00D21D0C"/>
    <w:rsid w:val="00D25D4E"/>
    <w:rsid w:val="00D40D1E"/>
    <w:rsid w:val="00D444FC"/>
    <w:rsid w:val="00D5532B"/>
    <w:rsid w:val="00D61A3A"/>
    <w:rsid w:val="00DA1E92"/>
    <w:rsid w:val="00DB2E18"/>
    <w:rsid w:val="00DD7B5E"/>
    <w:rsid w:val="00DE3F59"/>
    <w:rsid w:val="00DF7F04"/>
    <w:rsid w:val="00E0440A"/>
    <w:rsid w:val="00E061F6"/>
    <w:rsid w:val="00E103AF"/>
    <w:rsid w:val="00E205A7"/>
    <w:rsid w:val="00E3053A"/>
    <w:rsid w:val="00E340DC"/>
    <w:rsid w:val="00E52147"/>
    <w:rsid w:val="00E53D3D"/>
    <w:rsid w:val="00E53F2A"/>
    <w:rsid w:val="00E70E53"/>
    <w:rsid w:val="00E8431F"/>
    <w:rsid w:val="00E90906"/>
    <w:rsid w:val="00E93EC4"/>
    <w:rsid w:val="00E94F0B"/>
    <w:rsid w:val="00EA6EE6"/>
    <w:rsid w:val="00EB2C7E"/>
    <w:rsid w:val="00EB3319"/>
    <w:rsid w:val="00EC0341"/>
    <w:rsid w:val="00EC0588"/>
    <w:rsid w:val="00EC3102"/>
    <w:rsid w:val="00EE18AE"/>
    <w:rsid w:val="00F20082"/>
    <w:rsid w:val="00F20D79"/>
    <w:rsid w:val="00F23D1E"/>
    <w:rsid w:val="00F412A2"/>
    <w:rsid w:val="00F47F60"/>
    <w:rsid w:val="00F51E89"/>
    <w:rsid w:val="00F5610E"/>
    <w:rsid w:val="00F63568"/>
    <w:rsid w:val="00F74293"/>
    <w:rsid w:val="00F81CA1"/>
    <w:rsid w:val="00F853CB"/>
    <w:rsid w:val="00F8635A"/>
    <w:rsid w:val="00F939EE"/>
    <w:rsid w:val="00FA17EE"/>
    <w:rsid w:val="00FA56E3"/>
    <w:rsid w:val="00FB1B3B"/>
    <w:rsid w:val="00FB3645"/>
    <w:rsid w:val="00FC137B"/>
    <w:rsid w:val="00FC1D07"/>
    <w:rsid w:val="00FC791F"/>
    <w:rsid w:val="00FD1A85"/>
    <w:rsid w:val="00FD5589"/>
    <w:rsid w:val="00FE56BA"/>
    <w:rsid w:val="00FF0359"/>
    <w:rsid w:val="00FF5485"/>
    <w:rsid w:val="00FF7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7F3A"/>
  <w15:chartTrackingRefBased/>
  <w15:docId w15:val="{66CA0F5B-E2A0-42E2-A968-25BF9B6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註腳文字 字元2,註腳文字 字元1 字元,註腳文字 字元 字元 字元,註腳文字 字元 字元1,註腳文字 字元 字元"/>
    <w:basedOn w:val="a"/>
    <w:link w:val="a4"/>
    <w:rsid w:val="0053221B"/>
    <w:pPr>
      <w:snapToGrid w:val="0"/>
    </w:pPr>
    <w:rPr>
      <w:rFonts w:ascii="Times New Roman" w:eastAsia="新細明體" w:hAnsi="Times New Roman" w:cs="Times New Roman"/>
      <w:sz w:val="20"/>
      <w:szCs w:val="20"/>
    </w:rPr>
  </w:style>
  <w:style w:type="character" w:customStyle="1" w:styleId="a4">
    <w:name w:val="註腳文字 字元"/>
    <w:aliases w:val="註腳文字 字元2 字元,註腳文字 字元1 字元 字元,註腳文字 字元 字元 字元 字元,註腳文字 字元 字元1 字元,註腳文字 字元 字元 字元1"/>
    <w:basedOn w:val="a0"/>
    <w:link w:val="a3"/>
    <w:rsid w:val="0053221B"/>
    <w:rPr>
      <w:rFonts w:ascii="Times New Roman" w:eastAsia="新細明體" w:hAnsi="Times New Roman" w:cs="Times New Roman"/>
      <w:sz w:val="20"/>
      <w:szCs w:val="20"/>
    </w:rPr>
  </w:style>
  <w:style w:type="character" w:styleId="a5">
    <w:name w:val="footnote reference"/>
    <w:rsid w:val="0053221B"/>
    <w:rPr>
      <w:vertAlign w:val="superscript"/>
    </w:rPr>
  </w:style>
  <w:style w:type="paragraph" w:styleId="a6">
    <w:name w:val="header"/>
    <w:basedOn w:val="a"/>
    <w:link w:val="a7"/>
    <w:uiPriority w:val="99"/>
    <w:unhideWhenUsed/>
    <w:rsid w:val="00776D0A"/>
    <w:pPr>
      <w:tabs>
        <w:tab w:val="center" w:pos="4153"/>
        <w:tab w:val="right" w:pos="8306"/>
      </w:tabs>
      <w:snapToGrid w:val="0"/>
    </w:pPr>
    <w:rPr>
      <w:sz w:val="20"/>
      <w:szCs w:val="20"/>
    </w:rPr>
  </w:style>
  <w:style w:type="character" w:customStyle="1" w:styleId="a7">
    <w:name w:val="頁首 字元"/>
    <w:basedOn w:val="a0"/>
    <w:link w:val="a6"/>
    <w:uiPriority w:val="99"/>
    <w:rsid w:val="00776D0A"/>
    <w:rPr>
      <w:sz w:val="20"/>
      <w:szCs w:val="20"/>
    </w:rPr>
  </w:style>
  <w:style w:type="paragraph" w:styleId="a8">
    <w:name w:val="footer"/>
    <w:basedOn w:val="a"/>
    <w:link w:val="a9"/>
    <w:uiPriority w:val="99"/>
    <w:unhideWhenUsed/>
    <w:rsid w:val="00776D0A"/>
    <w:pPr>
      <w:tabs>
        <w:tab w:val="center" w:pos="4153"/>
        <w:tab w:val="right" w:pos="8306"/>
      </w:tabs>
      <w:snapToGrid w:val="0"/>
    </w:pPr>
    <w:rPr>
      <w:sz w:val="20"/>
      <w:szCs w:val="20"/>
    </w:rPr>
  </w:style>
  <w:style w:type="character" w:customStyle="1" w:styleId="a9">
    <w:name w:val="頁尾 字元"/>
    <w:basedOn w:val="a0"/>
    <w:link w:val="a8"/>
    <w:uiPriority w:val="99"/>
    <w:rsid w:val="00776D0A"/>
    <w:rPr>
      <w:sz w:val="20"/>
      <w:szCs w:val="20"/>
    </w:rPr>
  </w:style>
  <w:style w:type="character" w:styleId="aa">
    <w:name w:val="Hyperlink"/>
    <w:basedOn w:val="a0"/>
    <w:uiPriority w:val="99"/>
    <w:unhideWhenUsed/>
    <w:rsid w:val="00B12494"/>
    <w:rPr>
      <w:color w:val="0000FF"/>
      <w:u w:val="single"/>
    </w:rPr>
  </w:style>
  <w:style w:type="character" w:styleId="ab">
    <w:name w:val="Strong"/>
    <w:basedOn w:val="a0"/>
    <w:uiPriority w:val="22"/>
    <w:qFormat/>
    <w:rsid w:val="00006C07"/>
    <w:rPr>
      <w:b/>
      <w:bCs/>
    </w:rPr>
  </w:style>
  <w:style w:type="paragraph" w:customStyle="1" w:styleId="body-paragraph4">
    <w:name w:val="body-paragraph4"/>
    <w:basedOn w:val="a"/>
    <w:rsid w:val="00006C07"/>
    <w:pPr>
      <w:widowControl/>
      <w:spacing w:before="100" w:beforeAutospacing="1" w:after="100" w:afterAutospacing="1"/>
      <w:ind w:left="2820" w:hanging="600"/>
    </w:pPr>
    <w:rPr>
      <w:rFonts w:ascii="新細明體" w:eastAsia="新細明體" w:hAnsi="新細明體" w:cs="新細明體"/>
      <w:kern w:val="0"/>
      <w:szCs w:val="24"/>
    </w:rPr>
  </w:style>
  <w:style w:type="paragraph" w:customStyle="1" w:styleId="Default">
    <w:name w:val="Default"/>
    <w:rsid w:val="00873D4D"/>
    <w:pPr>
      <w:widowControl w:val="0"/>
      <w:autoSpaceDE w:val="0"/>
      <w:autoSpaceDN w:val="0"/>
      <w:adjustRightInd w:val="0"/>
    </w:pPr>
    <w:rPr>
      <w:rFonts w:ascii="Times New Roman" w:hAnsi="Times New Roman" w:cs="Times New Roman"/>
      <w:color w:val="000000"/>
      <w:kern w:val="0"/>
      <w:szCs w:val="24"/>
    </w:rPr>
  </w:style>
  <w:style w:type="paragraph" w:styleId="ac">
    <w:name w:val="Balloon Text"/>
    <w:basedOn w:val="a"/>
    <w:link w:val="ad"/>
    <w:uiPriority w:val="99"/>
    <w:semiHidden/>
    <w:unhideWhenUsed/>
    <w:rsid w:val="008A1F0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1F0E"/>
    <w:rPr>
      <w:rFonts w:asciiTheme="majorHAnsi" w:eastAsiaTheme="majorEastAsia" w:hAnsiTheme="majorHAnsi" w:cstheme="majorBidi"/>
      <w:sz w:val="18"/>
      <w:szCs w:val="18"/>
    </w:rPr>
  </w:style>
  <w:style w:type="table" w:styleId="ae">
    <w:name w:val="Table Grid"/>
    <w:basedOn w:val="a1"/>
    <w:rsid w:val="003005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00576"/>
  </w:style>
  <w:style w:type="paragraph" w:customStyle="1" w:styleId="2">
    <w:name w:val="樣式 2"/>
    <w:basedOn w:val="a"/>
    <w:rsid w:val="005A20CB"/>
    <w:pPr>
      <w:tabs>
        <w:tab w:val="center" w:leader="dot" w:pos="8302"/>
      </w:tabs>
      <w:spacing w:after="12" w:line="480" w:lineRule="auto"/>
      <w:outlineLvl w:val="0"/>
    </w:pPr>
    <w:rPr>
      <w:rFonts w:ascii="Times New Roman" w:eastAsia="Times New Roman" w:hAnsi="Times New Roman" w:cs="新細明體"/>
      <w:b/>
      <w:bCs/>
      <w:noProof/>
      <w:szCs w:val="20"/>
    </w:rPr>
  </w:style>
  <w:style w:type="character" w:customStyle="1" w:styleId="italic1">
    <w:name w:val="italic1"/>
    <w:basedOn w:val="a0"/>
    <w:rsid w:val="005A20CB"/>
    <w:rPr>
      <w:i/>
      <w:iCs/>
    </w:rPr>
  </w:style>
  <w:style w:type="character" w:customStyle="1" w:styleId="bold1">
    <w:name w:val="bold1"/>
    <w:basedOn w:val="a0"/>
    <w:rsid w:val="005A20CB"/>
    <w:rPr>
      <w:b/>
      <w:bCs/>
    </w:rPr>
  </w:style>
  <w:style w:type="paragraph" w:styleId="af">
    <w:name w:val="List Paragraph"/>
    <w:basedOn w:val="a"/>
    <w:qFormat/>
    <w:rsid w:val="00F47F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7">
      <w:bodyDiv w:val="1"/>
      <w:marLeft w:val="0"/>
      <w:marRight w:val="0"/>
      <w:marTop w:val="0"/>
      <w:marBottom w:val="0"/>
      <w:divBdr>
        <w:top w:val="none" w:sz="0" w:space="0" w:color="auto"/>
        <w:left w:val="none" w:sz="0" w:space="0" w:color="auto"/>
        <w:bottom w:val="none" w:sz="0" w:space="0" w:color="auto"/>
        <w:right w:val="none" w:sz="0" w:space="0" w:color="auto"/>
      </w:divBdr>
    </w:div>
    <w:div w:id="122114823">
      <w:bodyDiv w:val="1"/>
      <w:marLeft w:val="0"/>
      <w:marRight w:val="0"/>
      <w:marTop w:val="0"/>
      <w:marBottom w:val="0"/>
      <w:divBdr>
        <w:top w:val="none" w:sz="0" w:space="0" w:color="auto"/>
        <w:left w:val="none" w:sz="0" w:space="0" w:color="auto"/>
        <w:bottom w:val="none" w:sz="0" w:space="0" w:color="auto"/>
        <w:right w:val="none" w:sz="0" w:space="0" w:color="auto"/>
      </w:divBdr>
    </w:div>
    <w:div w:id="916675326">
      <w:bodyDiv w:val="1"/>
      <w:marLeft w:val="0"/>
      <w:marRight w:val="0"/>
      <w:marTop w:val="0"/>
      <w:marBottom w:val="0"/>
      <w:divBdr>
        <w:top w:val="none" w:sz="0" w:space="0" w:color="auto"/>
        <w:left w:val="none" w:sz="0" w:space="0" w:color="auto"/>
        <w:bottom w:val="none" w:sz="0" w:space="0" w:color="auto"/>
        <w:right w:val="none" w:sz="0" w:space="0" w:color="auto"/>
      </w:divBdr>
    </w:div>
    <w:div w:id="1137066769">
      <w:bodyDiv w:val="1"/>
      <w:marLeft w:val="0"/>
      <w:marRight w:val="0"/>
      <w:marTop w:val="0"/>
      <w:marBottom w:val="0"/>
      <w:divBdr>
        <w:top w:val="none" w:sz="0" w:space="0" w:color="auto"/>
        <w:left w:val="none" w:sz="0" w:space="0" w:color="auto"/>
        <w:bottom w:val="none" w:sz="0" w:space="0" w:color="auto"/>
        <w:right w:val="none" w:sz="0" w:space="0" w:color="auto"/>
      </w:divBdr>
    </w:div>
    <w:div w:id="1427922268">
      <w:bodyDiv w:val="1"/>
      <w:marLeft w:val="0"/>
      <w:marRight w:val="0"/>
      <w:marTop w:val="0"/>
      <w:marBottom w:val="0"/>
      <w:divBdr>
        <w:top w:val="none" w:sz="0" w:space="0" w:color="auto"/>
        <w:left w:val="none" w:sz="0" w:space="0" w:color="auto"/>
        <w:bottom w:val="none" w:sz="0" w:space="0" w:color="auto"/>
        <w:right w:val="none" w:sz="0" w:space="0" w:color="auto"/>
      </w:divBdr>
    </w:div>
    <w:div w:id="14840105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495">
          <w:marLeft w:val="0"/>
          <w:marRight w:val="0"/>
          <w:marTop w:val="0"/>
          <w:marBottom w:val="0"/>
          <w:divBdr>
            <w:top w:val="none" w:sz="0" w:space="0" w:color="auto"/>
            <w:left w:val="none" w:sz="0" w:space="0" w:color="auto"/>
            <w:bottom w:val="none" w:sz="0" w:space="0" w:color="auto"/>
            <w:right w:val="none" w:sz="0" w:space="0" w:color="auto"/>
          </w:divBdr>
          <w:divsChild>
            <w:div w:id="160389652">
              <w:marLeft w:val="0"/>
              <w:marRight w:val="0"/>
              <w:marTop w:val="0"/>
              <w:marBottom w:val="0"/>
              <w:divBdr>
                <w:top w:val="none" w:sz="0" w:space="0" w:color="auto"/>
                <w:left w:val="none" w:sz="0" w:space="0" w:color="auto"/>
                <w:bottom w:val="none" w:sz="0" w:space="0" w:color="auto"/>
                <w:right w:val="none" w:sz="0" w:space="0" w:color="auto"/>
              </w:divBdr>
              <w:divsChild>
                <w:div w:id="1280181108">
                  <w:marLeft w:val="0"/>
                  <w:marRight w:val="0"/>
                  <w:marTop w:val="0"/>
                  <w:marBottom w:val="0"/>
                  <w:divBdr>
                    <w:top w:val="none" w:sz="0" w:space="0" w:color="auto"/>
                    <w:left w:val="none" w:sz="0" w:space="0" w:color="auto"/>
                    <w:bottom w:val="none" w:sz="0" w:space="0" w:color="auto"/>
                    <w:right w:val="none" w:sz="0" w:space="0" w:color="auto"/>
                  </w:divBdr>
                  <w:divsChild>
                    <w:div w:id="1525287698">
                      <w:marLeft w:val="0"/>
                      <w:marRight w:val="0"/>
                      <w:marTop w:val="0"/>
                      <w:marBottom w:val="0"/>
                      <w:divBdr>
                        <w:top w:val="none" w:sz="0" w:space="0" w:color="auto"/>
                        <w:left w:val="none" w:sz="0" w:space="0" w:color="auto"/>
                        <w:bottom w:val="none" w:sz="0" w:space="0" w:color="auto"/>
                        <w:right w:val="none" w:sz="0" w:space="0" w:color="auto"/>
                      </w:divBdr>
                      <w:divsChild>
                        <w:div w:id="2119790082">
                          <w:marLeft w:val="0"/>
                          <w:marRight w:val="0"/>
                          <w:marTop w:val="0"/>
                          <w:marBottom w:val="0"/>
                          <w:divBdr>
                            <w:top w:val="none" w:sz="0" w:space="0" w:color="auto"/>
                            <w:left w:val="none" w:sz="0" w:space="0" w:color="auto"/>
                            <w:bottom w:val="none" w:sz="0" w:space="0" w:color="auto"/>
                            <w:right w:val="none" w:sz="0" w:space="0" w:color="auto"/>
                          </w:divBdr>
                          <w:divsChild>
                            <w:div w:id="1440641116">
                              <w:marLeft w:val="0"/>
                              <w:marRight w:val="0"/>
                              <w:marTop w:val="0"/>
                              <w:marBottom w:val="0"/>
                              <w:divBdr>
                                <w:top w:val="none" w:sz="0" w:space="0" w:color="auto"/>
                                <w:left w:val="none" w:sz="0" w:space="0" w:color="auto"/>
                                <w:bottom w:val="none" w:sz="0" w:space="0" w:color="auto"/>
                                <w:right w:val="none" w:sz="0" w:space="0" w:color="auto"/>
                              </w:divBdr>
                              <w:divsChild>
                                <w:div w:id="441268207">
                                  <w:marLeft w:val="0"/>
                                  <w:marRight w:val="0"/>
                                  <w:marTop w:val="0"/>
                                  <w:marBottom w:val="0"/>
                                  <w:divBdr>
                                    <w:top w:val="none" w:sz="0" w:space="0" w:color="auto"/>
                                    <w:left w:val="none" w:sz="0" w:space="0" w:color="auto"/>
                                    <w:bottom w:val="none" w:sz="0" w:space="0" w:color="auto"/>
                                    <w:right w:val="none" w:sz="0" w:space="0" w:color="auto"/>
                                  </w:divBdr>
                                  <w:divsChild>
                                    <w:div w:id="2081633231">
                                      <w:marLeft w:val="0"/>
                                      <w:marRight w:val="0"/>
                                      <w:marTop w:val="0"/>
                                      <w:marBottom w:val="0"/>
                                      <w:divBdr>
                                        <w:top w:val="none" w:sz="0" w:space="0" w:color="auto"/>
                                        <w:left w:val="none" w:sz="0" w:space="0" w:color="auto"/>
                                        <w:bottom w:val="none" w:sz="0" w:space="0" w:color="auto"/>
                                        <w:right w:val="none" w:sz="0" w:space="0" w:color="auto"/>
                                      </w:divBdr>
                                      <w:divsChild>
                                        <w:div w:id="563182951">
                                          <w:marLeft w:val="0"/>
                                          <w:marRight w:val="0"/>
                                          <w:marTop w:val="0"/>
                                          <w:marBottom w:val="0"/>
                                          <w:divBdr>
                                            <w:top w:val="none" w:sz="0" w:space="0" w:color="auto"/>
                                            <w:left w:val="none" w:sz="0" w:space="0" w:color="auto"/>
                                            <w:bottom w:val="none" w:sz="0" w:space="0" w:color="auto"/>
                                            <w:right w:val="none" w:sz="0" w:space="0" w:color="auto"/>
                                          </w:divBdr>
                                          <w:divsChild>
                                            <w:div w:id="20604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51965">
                              <w:marLeft w:val="0"/>
                              <w:marRight w:val="0"/>
                              <w:marTop w:val="0"/>
                              <w:marBottom w:val="0"/>
                              <w:divBdr>
                                <w:top w:val="none" w:sz="0" w:space="0" w:color="auto"/>
                                <w:left w:val="none" w:sz="0" w:space="0" w:color="auto"/>
                                <w:bottom w:val="none" w:sz="0" w:space="0" w:color="auto"/>
                                <w:right w:val="none" w:sz="0" w:space="0" w:color="auto"/>
                              </w:divBdr>
                              <w:divsChild>
                                <w:div w:id="525410772">
                                  <w:marLeft w:val="0"/>
                                  <w:marRight w:val="0"/>
                                  <w:marTop w:val="0"/>
                                  <w:marBottom w:val="0"/>
                                  <w:divBdr>
                                    <w:top w:val="none" w:sz="0" w:space="0" w:color="auto"/>
                                    <w:left w:val="none" w:sz="0" w:space="0" w:color="auto"/>
                                    <w:bottom w:val="none" w:sz="0" w:space="0" w:color="auto"/>
                                    <w:right w:val="none" w:sz="0" w:space="0" w:color="auto"/>
                                  </w:divBdr>
                                  <w:divsChild>
                                    <w:div w:id="689260650">
                                      <w:marLeft w:val="0"/>
                                      <w:marRight w:val="0"/>
                                      <w:marTop w:val="0"/>
                                      <w:marBottom w:val="0"/>
                                      <w:divBdr>
                                        <w:top w:val="none" w:sz="0" w:space="0" w:color="auto"/>
                                        <w:left w:val="none" w:sz="0" w:space="0" w:color="auto"/>
                                        <w:bottom w:val="none" w:sz="0" w:space="0" w:color="auto"/>
                                        <w:right w:val="none" w:sz="0" w:space="0" w:color="auto"/>
                                      </w:divBdr>
                                      <w:divsChild>
                                        <w:div w:id="3126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2629">
          <w:marLeft w:val="0"/>
          <w:marRight w:val="0"/>
          <w:marTop w:val="0"/>
          <w:marBottom w:val="0"/>
          <w:divBdr>
            <w:top w:val="none" w:sz="0" w:space="0" w:color="auto"/>
            <w:left w:val="none" w:sz="0" w:space="0" w:color="auto"/>
            <w:bottom w:val="none" w:sz="0" w:space="0" w:color="auto"/>
            <w:right w:val="none" w:sz="0" w:space="0" w:color="auto"/>
          </w:divBdr>
          <w:divsChild>
            <w:div w:id="20836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1C57-CB8B-425E-A4F1-3F319007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7618</TotalTime>
  <Pages>34</Pages>
  <Words>9838</Words>
  <Characters>56077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22</cp:revision>
  <cp:lastPrinted>2020-01-07T18:42:00Z</cp:lastPrinted>
  <dcterms:created xsi:type="dcterms:W3CDTF">2020-11-12T00:16:00Z</dcterms:created>
  <dcterms:modified xsi:type="dcterms:W3CDTF">2021-06-10T05:58:00Z</dcterms:modified>
</cp:coreProperties>
</file>